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F643" w14:textId="6BC4FA19" w:rsidR="003D39F5" w:rsidRPr="00E50BBA" w:rsidRDefault="00E50BBA" w:rsidP="003D39F5">
      <w:pPr>
        <w:pStyle w:val="cl"/>
        <w:spacing w:before="0" w:beforeAutospacing="0" w:line="253" w:lineRule="atLeast"/>
        <w:jc w:val="center"/>
        <w:rPr>
          <w:rFonts w:ascii="Arial" w:hAnsi="Arial" w:cs="Arial"/>
          <w:b/>
          <w:bCs/>
          <w:color w:val="000000"/>
          <w:sz w:val="20"/>
          <w:szCs w:val="20"/>
        </w:rPr>
      </w:pPr>
      <w:r w:rsidRPr="00E50BBA">
        <w:rPr>
          <w:rFonts w:ascii="Arial" w:hAnsi="Arial" w:cs="Arial"/>
          <w:b/>
          <w:bCs/>
          <w:color w:val="000000"/>
          <w:sz w:val="20"/>
          <w:szCs w:val="20"/>
        </w:rPr>
        <w:t>Oberon Investments Group PLC</w:t>
      </w:r>
    </w:p>
    <w:p w14:paraId="1A5E24BC" w14:textId="29425099" w:rsidR="003D39F5" w:rsidRPr="00E50BBA" w:rsidRDefault="003D39F5" w:rsidP="003D39F5">
      <w:pPr>
        <w:pStyle w:val="cl"/>
        <w:spacing w:before="0" w:beforeAutospacing="0" w:line="253" w:lineRule="atLeast"/>
        <w:jc w:val="center"/>
        <w:rPr>
          <w:rFonts w:ascii="Arial" w:hAnsi="Arial" w:cs="Arial"/>
          <w:b/>
          <w:bCs/>
          <w:color w:val="000000"/>
          <w:sz w:val="20"/>
          <w:szCs w:val="20"/>
        </w:rPr>
      </w:pPr>
      <w:r w:rsidRPr="00E50BBA">
        <w:rPr>
          <w:rFonts w:ascii="Arial" w:hAnsi="Arial" w:cs="Arial"/>
          <w:b/>
          <w:bCs/>
          <w:color w:val="000000"/>
          <w:sz w:val="20"/>
          <w:szCs w:val="20"/>
        </w:rPr>
        <w:t>("</w:t>
      </w:r>
      <w:r w:rsidR="00E50BBA" w:rsidRPr="00E50BBA">
        <w:rPr>
          <w:rFonts w:ascii="Arial" w:hAnsi="Arial" w:cs="Arial"/>
          <w:b/>
          <w:bCs/>
          <w:color w:val="000000"/>
          <w:sz w:val="20"/>
          <w:szCs w:val="20"/>
        </w:rPr>
        <w:t>Oberon Investments</w:t>
      </w:r>
      <w:r w:rsidRPr="00E50BBA">
        <w:rPr>
          <w:rFonts w:ascii="Arial" w:hAnsi="Arial" w:cs="Arial"/>
          <w:b/>
          <w:bCs/>
          <w:color w:val="000000"/>
          <w:sz w:val="20"/>
          <w:szCs w:val="20"/>
        </w:rPr>
        <w:t>" or the "Company")</w:t>
      </w:r>
    </w:p>
    <w:p w14:paraId="56D4EAEF" w14:textId="21B82BCF" w:rsidR="00612569" w:rsidRDefault="00A20F5A" w:rsidP="00E50BBA">
      <w:pPr>
        <w:pStyle w:val="cl"/>
        <w:spacing w:before="0" w:beforeAutospacing="0" w:line="253" w:lineRule="atLeast"/>
        <w:jc w:val="center"/>
        <w:rPr>
          <w:rFonts w:ascii="Arial" w:hAnsi="Arial" w:cs="Arial"/>
          <w:b/>
          <w:bCs/>
          <w:color w:val="000000"/>
          <w:sz w:val="20"/>
          <w:szCs w:val="20"/>
        </w:rPr>
      </w:pPr>
      <w:r>
        <w:rPr>
          <w:rFonts w:ascii="Arial" w:hAnsi="Arial" w:cs="Arial"/>
          <w:b/>
          <w:bCs/>
          <w:color w:val="000000"/>
          <w:sz w:val="20"/>
          <w:szCs w:val="20"/>
        </w:rPr>
        <w:t xml:space="preserve">Director Dealing </w:t>
      </w:r>
    </w:p>
    <w:p w14:paraId="7D27AF2F" w14:textId="771FB53F" w:rsidR="00504ADE" w:rsidRPr="00504ADE" w:rsidRDefault="00504ADE" w:rsidP="00504ADE">
      <w:pPr>
        <w:pStyle w:val="ep"/>
        <w:rPr>
          <w:rFonts w:ascii="Arial" w:hAnsi="Arial" w:cs="Arial"/>
          <w:color w:val="000000"/>
          <w:sz w:val="20"/>
          <w:szCs w:val="20"/>
          <w:lang w:eastAsia="ar-SA"/>
        </w:rPr>
      </w:pPr>
      <w:r w:rsidRPr="00504ADE">
        <w:rPr>
          <w:rFonts w:ascii="Arial" w:hAnsi="Arial" w:cs="Arial"/>
          <w:color w:val="000000"/>
          <w:sz w:val="20"/>
          <w:szCs w:val="20"/>
          <w:lang w:eastAsia="ar-SA"/>
        </w:rPr>
        <w:t xml:space="preserve">On </w:t>
      </w:r>
      <w:r w:rsidRPr="00504ADE">
        <w:rPr>
          <w:rFonts w:ascii="Arial" w:hAnsi="Arial" w:cs="Arial"/>
          <w:color w:val="000000"/>
          <w:sz w:val="20"/>
          <w:szCs w:val="20"/>
          <w:lang w:eastAsia="ar-SA"/>
        </w:rPr>
        <w:t>4</w:t>
      </w:r>
      <w:r w:rsidRPr="00504ADE">
        <w:rPr>
          <w:rFonts w:ascii="Arial" w:hAnsi="Arial" w:cs="Arial"/>
          <w:color w:val="000000"/>
          <w:sz w:val="20"/>
          <w:szCs w:val="20"/>
          <w:lang w:eastAsia="ar-SA"/>
        </w:rPr>
        <w:t xml:space="preserve"> April 202</w:t>
      </w:r>
      <w:r w:rsidRPr="00504ADE">
        <w:rPr>
          <w:rFonts w:ascii="Arial" w:hAnsi="Arial" w:cs="Arial"/>
          <w:color w:val="000000"/>
          <w:sz w:val="20"/>
          <w:szCs w:val="20"/>
          <w:lang w:eastAsia="ar-SA"/>
        </w:rPr>
        <w:t>2</w:t>
      </w:r>
      <w:r w:rsidRPr="00504ADE">
        <w:rPr>
          <w:rFonts w:ascii="Arial" w:hAnsi="Arial" w:cs="Arial"/>
          <w:color w:val="000000"/>
          <w:sz w:val="20"/>
          <w:szCs w:val="20"/>
          <w:lang w:eastAsia="ar-SA"/>
        </w:rPr>
        <w:t xml:space="preserve">, </w:t>
      </w:r>
      <w:r w:rsidRPr="00504ADE">
        <w:rPr>
          <w:rFonts w:ascii="Arial" w:hAnsi="Arial" w:cs="Arial"/>
          <w:color w:val="000000"/>
          <w:sz w:val="20"/>
          <w:szCs w:val="20"/>
          <w:lang w:eastAsia="ar-SA"/>
        </w:rPr>
        <w:t>Simon McGivern</w:t>
      </w:r>
      <w:r w:rsidRPr="00504ADE">
        <w:rPr>
          <w:rFonts w:ascii="Arial" w:hAnsi="Arial" w:cs="Arial"/>
          <w:color w:val="000000"/>
          <w:sz w:val="20"/>
          <w:szCs w:val="20"/>
          <w:lang w:eastAsia="ar-SA"/>
        </w:rPr>
        <w:t xml:space="preserve">, Chief Executive Officer of the Company, performed a 'Bed and ISA' transfer of ordinary shares of </w:t>
      </w:r>
      <w:r w:rsidRPr="00504ADE">
        <w:rPr>
          <w:rFonts w:ascii="Arial" w:hAnsi="Arial" w:cs="Arial"/>
          <w:color w:val="000000"/>
          <w:sz w:val="20"/>
          <w:szCs w:val="20"/>
          <w:lang w:eastAsia="ar-SA"/>
        </w:rPr>
        <w:t>0.5</w:t>
      </w:r>
      <w:r w:rsidRPr="00504ADE">
        <w:rPr>
          <w:rFonts w:ascii="Arial" w:hAnsi="Arial" w:cs="Arial"/>
          <w:color w:val="000000"/>
          <w:sz w:val="20"/>
          <w:szCs w:val="20"/>
          <w:lang w:eastAsia="ar-SA"/>
        </w:rPr>
        <w:t>p each in the Company ("Ordinary Shares") from his share dealing account into his ISA.</w:t>
      </w:r>
    </w:p>
    <w:p w14:paraId="767888B2" w14:textId="77777777" w:rsidR="00504ADE" w:rsidRPr="00504ADE" w:rsidRDefault="00504ADE" w:rsidP="00504ADE">
      <w:pPr>
        <w:pStyle w:val="ep"/>
        <w:rPr>
          <w:rFonts w:ascii="Arial" w:hAnsi="Arial" w:cs="Arial"/>
          <w:color w:val="000000"/>
          <w:sz w:val="20"/>
          <w:szCs w:val="20"/>
          <w:lang w:eastAsia="ar-SA"/>
        </w:rPr>
      </w:pPr>
      <w:r w:rsidRPr="00504ADE">
        <w:rPr>
          <w:rFonts w:ascii="Arial" w:hAnsi="Arial" w:cs="Arial"/>
          <w:color w:val="000000"/>
          <w:sz w:val="20"/>
          <w:szCs w:val="20"/>
          <w:lang w:eastAsia="ar-SA"/>
        </w:rPr>
        <w:t>Details of the transaction are shown in the PDMR notification below.</w:t>
      </w:r>
    </w:p>
    <w:p w14:paraId="092100CA" w14:textId="640997B0" w:rsidR="00504ADE" w:rsidRPr="00504ADE" w:rsidRDefault="00504ADE" w:rsidP="00504ADE">
      <w:pPr>
        <w:pStyle w:val="ep"/>
        <w:rPr>
          <w:rFonts w:ascii="Arial" w:hAnsi="Arial" w:cs="Arial"/>
          <w:color w:val="000000"/>
          <w:sz w:val="20"/>
          <w:szCs w:val="20"/>
          <w:lang w:eastAsia="ar-SA"/>
        </w:rPr>
      </w:pPr>
      <w:r w:rsidRPr="00504ADE">
        <w:rPr>
          <w:rFonts w:ascii="Arial" w:hAnsi="Arial" w:cs="Arial"/>
          <w:color w:val="000000"/>
          <w:sz w:val="20"/>
          <w:szCs w:val="20"/>
          <w:lang w:eastAsia="ar-SA"/>
        </w:rPr>
        <w:t xml:space="preserve">Following the transfers, </w:t>
      </w:r>
      <w:r w:rsidRPr="00504ADE">
        <w:rPr>
          <w:rFonts w:ascii="Arial" w:hAnsi="Arial" w:cs="Arial"/>
          <w:color w:val="000000"/>
          <w:sz w:val="20"/>
          <w:szCs w:val="20"/>
          <w:lang w:eastAsia="ar-SA"/>
        </w:rPr>
        <w:t>Simon McGivern</w:t>
      </w:r>
      <w:r w:rsidRPr="00504ADE">
        <w:rPr>
          <w:rFonts w:ascii="Arial" w:hAnsi="Arial" w:cs="Arial"/>
          <w:color w:val="000000"/>
          <w:sz w:val="20"/>
          <w:szCs w:val="20"/>
          <w:lang w:eastAsia="ar-SA"/>
        </w:rPr>
        <w:t xml:space="preserve">'s beneficial interest remains unchanged at </w:t>
      </w:r>
      <w:r w:rsidRPr="00504ADE">
        <w:rPr>
          <w:rFonts w:ascii="Arial" w:hAnsi="Arial" w:cs="Arial"/>
          <w:color w:val="000000"/>
          <w:sz w:val="20"/>
          <w:szCs w:val="20"/>
          <w:lang w:eastAsia="ar-SA"/>
        </w:rPr>
        <w:t>52</w:t>
      </w:r>
      <w:r w:rsidRPr="00504ADE">
        <w:rPr>
          <w:rFonts w:ascii="Arial" w:hAnsi="Arial" w:cs="Arial"/>
          <w:color w:val="000000"/>
          <w:sz w:val="20"/>
          <w:szCs w:val="20"/>
          <w:lang w:eastAsia="ar-SA"/>
        </w:rPr>
        <w:t>,</w:t>
      </w:r>
      <w:r w:rsidRPr="00504ADE">
        <w:rPr>
          <w:rFonts w:ascii="Arial" w:hAnsi="Arial" w:cs="Arial"/>
          <w:color w:val="000000"/>
          <w:sz w:val="20"/>
          <w:szCs w:val="20"/>
          <w:lang w:eastAsia="ar-SA"/>
        </w:rPr>
        <w:t>756</w:t>
      </w:r>
      <w:r w:rsidRPr="00504ADE">
        <w:rPr>
          <w:rFonts w:ascii="Arial" w:hAnsi="Arial" w:cs="Arial"/>
          <w:color w:val="000000"/>
          <w:sz w:val="20"/>
          <w:szCs w:val="20"/>
          <w:lang w:eastAsia="ar-SA"/>
        </w:rPr>
        <w:t>,</w:t>
      </w:r>
      <w:r w:rsidRPr="00504ADE">
        <w:rPr>
          <w:rFonts w:ascii="Arial" w:hAnsi="Arial" w:cs="Arial"/>
          <w:color w:val="000000"/>
          <w:sz w:val="20"/>
          <w:szCs w:val="20"/>
          <w:lang w:eastAsia="ar-SA"/>
        </w:rPr>
        <w:t>925</w:t>
      </w:r>
      <w:r w:rsidRPr="00504ADE">
        <w:rPr>
          <w:rFonts w:ascii="Arial" w:hAnsi="Arial" w:cs="Arial"/>
          <w:color w:val="000000"/>
          <w:sz w:val="20"/>
          <w:szCs w:val="20"/>
          <w:lang w:eastAsia="ar-SA"/>
        </w:rPr>
        <w:t xml:space="preserve"> Ordinary Shares which equates to 1</w:t>
      </w:r>
      <w:r w:rsidRPr="00504ADE">
        <w:rPr>
          <w:rFonts w:ascii="Arial" w:hAnsi="Arial" w:cs="Arial"/>
          <w:color w:val="000000"/>
          <w:sz w:val="20"/>
          <w:szCs w:val="20"/>
          <w:lang w:eastAsia="ar-SA"/>
        </w:rPr>
        <w:t>1</w:t>
      </w:r>
      <w:r w:rsidRPr="00504ADE">
        <w:rPr>
          <w:rFonts w:ascii="Arial" w:hAnsi="Arial" w:cs="Arial"/>
          <w:color w:val="000000"/>
          <w:sz w:val="20"/>
          <w:szCs w:val="20"/>
          <w:lang w:eastAsia="ar-SA"/>
        </w:rPr>
        <w:t>.25 per cent. of the total issued share capital of the Company.</w:t>
      </w:r>
    </w:p>
    <w:p w14:paraId="08B581AC" w14:textId="5E3A7FA2" w:rsidR="00153AB4" w:rsidRPr="00153AB4" w:rsidRDefault="00BC27AD" w:rsidP="00153AB4">
      <w:pPr>
        <w:pStyle w:val="NormalWeb"/>
        <w:rPr>
          <w:rFonts w:ascii="Arial" w:hAnsi="Arial" w:cs="Arial"/>
          <w:color w:val="000000"/>
          <w:sz w:val="20"/>
          <w:szCs w:val="20"/>
          <w:lang w:eastAsia="ar-SA"/>
        </w:rPr>
      </w:pPr>
      <w:r>
        <w:rPr>
          <w:rFonts w:ascii="Arial" w:hAnsi="Arial" w:cs="Arial"/>
          <w:color w:val="000000"/>
          <w:sz w:val="20"/>
          <w:szCs w:val="20"/>
          <w:lang w:eastAsia="ar-SA"/>
        </w:rPr>
        <w:t xml:space="preserve">The Company </w:t>
      </w:r>
      <w:r w:rsidR="00153AB4">
        <w:rPr>
          <w:rFonts w:ascii="Arial" w:hAnsi="Arial" w:cs="Arial"/>
          <w:color w:val="000000"/>
          <w:sz w:val="20"/>
          <w:szCs w:val="20"/>
          <w:lang w:eastAsia="ar-SA"/>
        </w:rPr>
        <w:t>h</w:t>
      </w:r>
      <w:r>
        <w:rPr>
          <w:rFonts w:ascii="Arial" w:hAnsi="Arial" w:cs="Arial"/>
          <w:color w:val="000000"/>
          <w:sz w:val="20"/>
          <w:szCs w:val="20"/>
          <w:lang w:eastAsia="ar-SA"/>
        </w:rPr>
        <w:t>as 4</w:t>
      </w:r>
      <w:r w:rsidR="00504ADE">
        <w:rPr>
          <w:rFonts w:ascii="Arial" w:hAnsi="Arial" w:cs="Arial"/>
          <w:color w:val="000000"/>
          <w:sz w:val="20"/>
          <w:szCs w:val="20"/>
          <w:lang w:eastAsia="ar-SA"/>
        </w:rPr>
        <w:t>69</w:t>
      </w:r>
      <w:r>
        <w:rPr>
          <w:rFonts w:ascii="Arial" w:hAnsi="Arial" w:cs="Arial"/>
          <w:color w:val="000000"/>
          <w:sz w:val="20"/>
          <w:szCs w:val="20"/>
          <w:lang w:eastAsia="ar-SA"/>
        </w:rPr>
        <w:t>,</w:t>
      </w:r>
      <w:r w:rsidR="00504ADE">
        <w:rPr>
          <w:rFonts w:ascii="Arial" w:hAnsi="Arial" w:cs="Arial"/>
          <w:color w:val="000000"/>
          <w:sz w:val="20"/>
          <w:szCs w:val="20"/>
          <w:lang w:eastAsia="ar-SA"/>
        </w:rPr>
        <w:t>060</w:t>
      </w:r>
      <w:r>
        <w:rPr>
          <w:rFonts w:ascii="Arial" w:hAnsi="Arial" w:cs="Arial"/>
          <w:color w:val="000000"/>
          <w:sz w:val="20"/>
          <w:szCs w:val="20"/>
          <w:lang w:eastAsia="ar-SA"/>
        </w:rPr>
        <w:t>,</w:t>
      </w:r>
      <w:r w:rsidR="00504ADE">
        <w:rPr>
          <w:rFonts w:ascii="Arial" w:hAnsi="Arial" w:cs="Arial"/>
          <w:color w:val="000000"/>
          <w:sz w:val="20"/>
          <w:szCs w:val="20"/>
          <w:lang w:eastAsia="ar-SA"/>
        </w:rPr>
        <w:t>613</w:t>
      </w:r>
      <w:r>
        <w:rPr>
          <w:rFonts w:ascii="Arial" w:hAnsi="Arial" w:cs="Arial"/>
          <w:color w:val="000000"/>
          <w:sz w:val="20"/>
          <w:szCs w:val="20"/>
          <w:lang w:eastAsia="ar-SA"/>
        </w:rPr>
        <w:t xml:space="preserve"> </w:t>
      </w:r>
      <w:r w:rsidR="00153AB4">
        <w:rPr>
          <w:rFonts w:ascii="Arial" w:hAnsi="Arial" w:cs="Arial"/>
          <w:color w:val="000000"/>
          <w:sz w:val="20"/>
          <w:szCs w:val="20"/>
          <w:lang w:eastAsia="ar-SA"/>
        </w:rPr>
        <w:t xml:space="preserve">Ordinary </w:t>
      </w:r>
      <w:r>
        <w:rPr>
          <w:rFonts w:ascii="Arial" w:hAnsi="Arial" w:cs="Arial"/>
          <w:color w:val="000000"/>
          <w:sz w:val="20"/>
          <w:szCs w:val="20"/>
          <w:lang w:eastAsia="ar-SA"/>
        </w:rPr>
        <w:t>shares</w:t>
      </w:r>
      <w:r w:rsidR="00153AB4">
        <w:rPr>
          <w:rFonts w:ascii="Arial" w:hAnsi="Arial" w:cs="Arial"/>
          <w:color w:val="000000"/>
          <w:sz w:val="20"/>
          <w:szCs w:val="20"/>
          <w:lang w:eastAsia="ar-SA"/>
        </w:rPr>
        <w:t xml:space="preserve"> in issue. </w:t>
      </w:r>
      <w:r w:rsidR="00153AB4" w:rsidRPr="00153AB4">
        <w:rPr>
          <w:rFonts w:ascii="Arial" w:hAnsi="Arial" w:cs="Arial"/>
          <w:color w:val="000000"/>
          <w:sz w:val="20"/>
          <w:szCs w:val="20"/>
          <w:lang w:eastAsia="ar-SA"/>
        </w:rPr>
        <w:t>No Ordinary Shares are held in treasury.</w:t>
      </w:r>
    </w:p>
    <w:p w14:paraId="363C6460" w14:textId="77777777" w:rsidR="00153AB4" w:rsidRPr="00153AB4" w:rsidRDefault="00153AB4" w:rsidP="00153AB4">
      <w:pPr>
        <w:pStyle w:val="NormalWeb"/>
        <w:rPr>
          <w:rFonts w:ascii="Arial" w:hAnsi="Arial" w:cs="Arial"/>
          <w:color w:val="000000"/>
          <w:sz w:val="20"/>
          <w:szCs w:val="20"/>
          <w:lang w:eastAsia="ar-SA"/>
        </w:rPr>
      </w:pPr>
      <w:r w:rsidRPr="00153AB4">
        <w:rPr>
          <w:rFonts w:ascii="Arial" w:hAnsi="Arial" w:cs="Arial"/>
          <w:color w:val="000000"/>
          <w:sz w:val="20"/>
          <w:szCs w:val="20"/>
          <w:lang w:eastAsia="ar-SA"/>
        </w:rPr>
        <w:t>The above figure for total number of ordinary shares may be used by shareholders as the denominator for the calculations by which they will determine if they are required to notify their interest in, or a change to their interest in, the Company under the Financial Conduct Authority's Disclosure Guidance and Transparency Rules.</w:t>
      </w:r>
    </w:p>
    <w:p w14:paraId="0CFD282C" w14:textId="42124ED5" w:rsidR="00B247C1" w:rsidRDefault="00B247C1" w:rsidP="00E50BBA">
      <w:pPr>
        <w:pStyle w:val="as"/>
        <w:spacing w:before="0" w:beforeAutospacing="0" w:after="0" w:afterAutospacing="0"/>
        <w:contextualSpacing/>
        <w:jc w:val="both"/>
        <w:rPr>
          <w:rFonts w:ascii="Arial" w:hAnsi="Arial" w:cs="Arial"/>
          <w:color w:val="000000"/>
          <w:sz w:val="20"/>
          <w:szCs w:val="20"/>
          <w:lang w:eastAsia="ar-SA"/>
        </w:rPr>
      </w:pPr>
    </w:p>
    <w:p w14:paraId="3643FCBD" w14:textId="77777777" w:rsidR="00B247C1" w:rsidRDefault="00B247C1" w:rsidP="00B247C1">
      <w:pPr>
        <w:pStyle w:val="as"/>
        <w:spacing w:before="0" w:beforeAutospacing="0" w:after="0" w:afterAutospacing="0"/>
        <w:contextualSpacing/>
        <w:jc w:val="both"/>
        <w:rPr>
          <w:rFonts w:ascii="Arial" w:hAnsi="Arial" w:cs="Arial"/>
          <w:color w:val="000000"/>
          <w:sz w:val="20"/>
          <w:szCs w:val="20"/>
          <w:lang w:eastAsia="ar-SA"/>
        </w:rPr>
      </w:pPr>
      <w:r w:rsidRPr="000273E9">
        <w:rPr>
          <w:rFonts w:ascii="Arial" w:hAnsi="Arial" w:cs="Arial"/>
          <w:color w:val="000000"/>
          <w:sz w:val="20"/>
          <w:szCs w:val="20"/>
          <w:lang w:eastAsia="ar-SA"/>
        </w:rPr>
        <w:t xml:space="preserve">This announcement contains information which, prior to its disclosure, was inside information as stipulated under Regulation 11 of the Market Abuse (Amendment) (EU Exit) Regulations 2019/310 (as amended).  </w:t>
      </w:r>
    </w:p>
    <w:p w14:paraId="53672003" w14:textId="77777777" w:rsidR="00B247C1" w:rsidRDefault="00B247C1" w:rsidP="00E50BBA">
      <w:pPr>
        <w:pStyle w:val="as"/>
        <w:spacing w:before="0" w:beforeAutospacing="0" w:after="0" w:afterAutospacing="0"/>
        <w:contextualSpacing/>
        <w:jc w:val="both"/>
        <w:rPr>
          <w:rFonts w:ascii="Arial" w:hAnsi="Arial" w:cs="Arial"/>
          <w:color w:val="000000"/>
          <w:sz w:val="20"/>
          <w:szCs w:val="20"/>
          <w:lang w:eastAsia="ar-SA"/>
        </w:rPr>
      </w:pPr>
    </w:p>
    <w:p w14:paraId="5949D45E" w14:textId="109DB388" w:rsidR="00A43123" w:rsidRDefault="00A43123" w:rsidP="00E50BBA">
      <w:pPr>
        <w:pStyle w:val="as"/>
        <w:spacing w:before="0" w:beforeAutospacing="0" w:after="0" w:afterAutospacing="0"/>
        <w:contextualSpacing/>
        <w:jc w:val="both"/>
        <w:rPr>
          <w:rFonts w:ascii="Arial" w:hAnsi="Arial" w:cs="Arial"/>
          <w:color w:val="000000"/>
          <w:sz w:val="20"/>
          <w:szCs w:val="20"/>
          <w:lang w:eastAsia="ar-SA"/>
        </w:rPr>
      </w:pPr>
      <w:r w:rsidRPr="00E50BBA">
        <w:rPr>
          <w:rFonts w:ascii="Arial" w:hAnsi="Arial" w:cs="Arial"/>
          <w:color w:val="000000"/>
          <w:sz w:val="20"/>
          <w:szCs w:val="20"/>
          <w:lang w:eastAsia="ar-SA"/>
        </w:rPr>
        <w:t xml:space="preserve">The Directors of the Company take responsibility for this announcement. </w:t>
      </w:r>
    </w:p>
    <w:p w14:paraId="46FB7ACE" w14:textId="4F45A8AF" w:rsidR="00E50BBA" w:rsidRDefault="00E50BBA" w:rsidP="00E50BBA">
      <w:pPr>
        <w:pStyle w:val="as"/>
        <w:spacing w:before="0" w:beforeAutospacing="0" w:after="0" w:afterAutospacing="0"/>
        <w:contextualSpacing/>
        <w:jc w:val="both"/>
        <w:rPr>
          <w:rFonts w:ascii="Arial" w:hAnsi="Arial" w:cs="Arial"/>
          <w:color w:val="000000"/>
          <w:sz w:val="20"/>
          <w:szCs w:val="20"/>
          <w:lang w:eastAsia="ar-SA"/>
        </w:rPr>
      </w:pPr>
    </w:p>
    <w:p w14:paraId="3E651D49" w14:textId="48215FF2" w:rsidR="00F340BA" w:rsidRDefault="00F340BA" w:rsidP="00E50BBA">
      <w:pPr>
        <w:pStyle w:val="as"/>
        <w:spacing w:before="0" w:beforeAutospacing="0" w:after="0" w:afterAutospacing="0"/>
        <w:contextualSpacing/>
        <w:jc w:val="both"/>
        <w:rPr>
          <w:rFonts w:ascii="Arial" w:hAnsi="Arial" w:cs="Arial"/>
          <w:color w:val="000000"/>
          <w:sz w:val="20"/>
          <w:szCs w:val="20"/>
          <w:lang w:eastAsia="ar-SA"/>
        </w:rPr>
      </w:pPr>
    </w:p>
    <w:p w14:paraId="436AAC5E" w14:textId="77777777" w:rsidR="00F340BA" w:rsidRPr="00E50BBA" w:rsidRDefault="00F340BA" w:rsidP="00E50BBA">
      <w:pPr>
        <w:pStyle w:val="as"/>
        <w:spacing w:before="0" w:beforeAutospacing="0" w:after="0" w:afterAutospacing="0"/>
        <w:contextualSpacing/>
        <w:jc w:val="both"/>
        <w:rPr>
          <w:rFonts w:ascii="Arial" w:hAnsi="Arial" w:cs="Arial"/>
          <w:color w:val="000000"/>
          <w:sz w:val="20"/>
          <w:szCs w:val="20"/>
          <w:lang w:eastAsia="ar-SA"/>
        </w:rPr>
      </w:pPr>
    </w:p>
    <w:tbl>
      <w:tblPr>
        <w:tblW w:w="9180" w:type="dxa"/>
        <w:tblLayout w:type="fixed"/>
        <w:tblLook w:val="04A0" w:firstRow="1" w:lastRow="0" w:firstColumn="1" w:lastColumn="0" w:noHBand="0" w:noVBand="1"/>
      </w:tblPr>
      <w:tblGrid>
        <w:gridCol w:w="5382"/>
        <w:gridCol w:w="3798"/>
      </w:tblGrid>
      <w:tr w:rsidR="00E50BBA" w:rsidRPr="000F11E7" w14:paraId="681138FD" w14:textId="77777777" w:rsidTr="00504ADE">
        <w:tc>
          <w:tcPr>
            <w:tcW w:w="5382" w:type="dxa"/>
            <w:shd w:val="clear" w:color="auto" w:fill="auto"/>
          </w:tcPr>
          <w:p w14:paraId="51C04BE8" w14:textId="333C99D5" w:rsidR="00E50BBA" w:rsidRDefault="00E50BBA" w:rsidP="00CB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b/>
                <w:color w:val="000000" w:themeColor="text1"/>
              </w:rPr>
            </w:pPr>
            <w:r>
              <w:rPr>
                <w:b/>
                <w:color w:val="000000" w:themeColor="text1"/>
              </w:rPr>
              <w:t>Oberon Investments Group Plc</w:t>
            </w:r>
          </w:p>
          <w:p w14:paraId="36E65905" w14:textId="77777777" w:rsidR="00E50BBA" w:rsidRDefault="00E50BBA" w:rsidP="00CB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b/>
                <w:color w:val="000000" w:themeColor="text1"/>
              </w:rPr>
            </w:pPr>
          </w:p>
          <w:p w14:paraId="7697A908" w14:textId="77777777" w:rsidR="00E50BBA" w:rsidRDefault="00E50BBA" w:rsidP="00CB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bCs/>
                <w:color w:val="000000" w:themeColor="text1"/>
              </w:rPr>
            </w:pPr>
            <w:r>
              <w:rPr>
                <w:bCs/>
                <w:color w:val="000000" w:themeColor="text1"/>
              </w:rPr>
              <w:t>Simon McGivern / John Beaumont</w:t>
            </w:r>
          </w:p>
          <w:p w14:paraId="291E1729" w14:textId="6348B013" w:rsidR="00E50BBA" w:rsidRPr="00E50BBA" w:rsidRDefault="00E50BBA" w:rsidP="00CB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bCs/>
                <w:color w:val="000000" w:themeColor="text1"/>
              </w:rPr>
            </w:pPr>
          </w:p>
        </w:tc>
        <w:tc>
          <w:tcPr>
            <w:tcW w:w="3798" w:type="dxa"/>
            <w:shd w:val="clear" w:color="auto" w:fill="auto"/>
          </w:tcPr>
          <w:p w14:paraId="67C17499" w14:textId="77777777" w:rsidR="00E50BBA" w:rsidRDefault="00E50BBA" w:rsidP="00CB6A3A">
            <w:pPr>
              <w:spacing w:line="240" w:lineRule="auto"/>
              <w:contextualSpacing/>
              <w:jc w:val="right"/>
              <w:rPr>
                <w:b/>
                <w:color w:val="000000" w:themeColor="text1"/>
              </w:rPr>
            </w:pPr>
          </w:p>
          <w:p w14:paraId="04AE1C99" w14:textId="77777777" w:rsidR="00E50BBA" w:rsidRDefault="00E50BBA" w:rsidP="00CB6A3A">
            <w:pPr>
              <w:spacing w:line="240" w:lineRule="auto"/>
              <w:contextualSpacing/>
              <w:jc w:val="right"/>
              <w:rPr>
                <w:bCs/>
                <w:color w:val="000000" w:themeColor="text1"/>
              </w:rPr>
            </w:pPr>
          </w:p>
          <w:p w14:paraId="59A30883" w14:textId="77777777" w:rsidR="00E50BBA" w:rsidRDefault="00E50BBA" w:rsidP="00CB6A3A">
            <w:pPr>
              <w:spacing w:line="240" w:lineRule="auto"/>
              <w:contextualSpacing/>
              <w:jc w:val="right"/>
              <w:rPr>
                <w:bCs/>
                <w:color w:val="000000" w:themeColor="text1"/>
              </w:rPr>
            </w:pPr>
          </w:p>
          <w:p w14:paraId="026B43B5" w14:textId="49D21E49" w:rsidR="00E50BBA" w:rsidRPr="00E50BBA" w:rsidRDefault="00E50BBA" w:rsidP="00CB6A3A">
            <w:pPr>
              <w:spacing w:line="240" w:lineRule="auto"/>
              <w:contextualSpacing/>
              <w:jc w:val="right"/>
              <w:rPr>
                <w:bCs/>
                <w:color w:val="000000" w:themeColor="text1"/>
              </w:rPr>
            </w:pPr>
            <w:r w:rsidRPr="00E50BBA">
              <w:rPr>
                <w:bCs/>
                <w:color w:val="000000" w:themeColor="text1"/>
              </w:rPr>
              <w:t xml:space="preserve">Via </w:t>
            </w:r>
            <w:r w:rsidR="00F523BC">
              <w:rPr>
                <w:bCs/>
                <w:color w:val="000000" w:themeColor="text1"/>
              </w:rPr>
              <w:t>IFC</w:t>
            </w:r>
          </w:p>
        </w:tc>
      </w:tr>
      <w:tr w:rsidR="00E50BBA" w:rsidRPr="000F11E7" w14:paraId="4BE1FB2C" w14:textId="77777777" w:rsidTr="00504ADE">
        <w:tc>
          <w:tcPr>
            <w:tcW w:w="5382" w:type="dxa"/>
            <w:shd w:val="clear" w:color="auto" w:fill="auto"/>
          </w:tcPr>
          <w:p w14:paraId="10F70545" w14:textId="177F208B" w:rsidR="00E50BBA" w:rsidRPr="000F11E7" w:rsidRDefault="00E50BBA" w:rsidP="00CB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b/>
                <w:color w:val="000000" w:themeColor="text1"/>
              </w:rPr>
            </w:pPr>
            <w:r w:rsidRPr="000F11E7">
              <w:rPr>
                <w:b/>
                <w:color w:val="000000" w:themeColor="text1"/>
              </w:rPr>
              <w:t xml:space="preserve">AQSE Corporate Adviser </w:t>
            </w:r>
          </w:p>
        </w:tc>
        <w:tc>
          <w:tcPr>
            <w:tcW w:w="3798" w:type="dxa"/>
            <w:shd w:val="clear" w:color="auto" w:fill="auto"/>
          </w:tcPr>
          <w:p w14:paraId="6F91EA9A" w14:textId="77777777" w:rsidR="00E50BBA" w:rsidRPr="000F11E7" w:rsidRDefault="00E50BBA" w:rsidP="00CB6A3A">
            <w:pPr>
              <w:spacing w:line="240" w:lineRule="auto"/>
              <w:contextualSpacing/>
              <w:jc w:val="right"/>
              <w:rPr>
                <w:b/>
                <w:color w:val="000000" w:themeColor="text1"/>
              </w:rPr>
            </w:pPr>
          </w:p>
        </w:tc>
      </w:tr>
      <w:tr w:rsidR="00E50BBA" w:rsidRPr="000F11E7" w14:paraId="472CFB3D" w14:textId="77777777" w:rsidTr="00504ADE">
        <w:trPr>
          <w:trHeight w:val="257"/>
        </w:trPr>
        <w:tc>
          <w:tcPr>
            <w:tcW w:w="5382" w:type="dxa"/>
            <w:shd w:val="clear" w:color="auto" w:fill="auto"/>
          </w:tcPr>
          <w:p w14:paraId="7F6B553D" w14:textId="77777777" w:rsidR="00E50BBA" w:rsidRDefault="00E50BBA" w:rsidP="00CB6A3A">
            <w:pPr>
              <w:spacing w:line="240" w:lineRule="auto"/>
              <w:contextualSpacing/>
              <w:rPr>
                <w:b/>
                <w:color w:val="000000" w:themeColor="text1"/>
              </w:rPr>
            </w:pPr>
            <w:r w:rsidRPr="000F11E7">
              <w:rPr>
                <w:b/>
                <w:color w:val="000000" w:themeColor="text1"/>
              </w:rPr>
              <w:t>Novum Securities Limited</w:t>
            </w:r>
          </w:p>
          <w:p w14:paraId="376DB01C" w14:textId="5E8A6C58" w:rsidR="00E50BBA" w:rsidRPr="000F11E7" w:rsidRDefault="00E50BBA" w:rsidP="00CB6A3A">
            <w:pPr>
              <w:spacing w:line="240" w:lineRule="auto"/>
              <w:contextualSpacing/>
              <w:rPr>
                <w:bCs/>
                <w:noProof/>
                <w:color w:val="000000" w:themeColor="text1"/>
              </w:rPr>
            </w:pPr>
          </w:p>
        </w:tc>
        <w:tc>
          <w:tcPr>
            <w:tcW w:w="3798" w:type="dxa"/>
            <w:shd w:val="clear" w:color="auto" w:fill="auto"/>
          </w:tcPr>
          <w:p w14:paraId="0609F5F2" w14:textId="77777777" w:rsidR="00E50BBA" w:rsidRPr="000F11E7" w:rsidRDefault="00E50BBA" w:rsidP="00CB6A3A">
            <w:pPr>
              <w:spacing w:line="240" w:lineRule="auto"/>
              <w:contextualSpacing/>
              <w:jc w:val="right"/>
              <w:rPr>
                <w:color w:val="000000" w:themeColor="text1"/>
              </w:rPr>
            </w:pPr>
          </w:p>
        </w:tc>
      </w:tr>
      <w:tr w:rsidR="00E50BBA" w:rsidRPr="000F11E7" w14:paraId="43DC1D42" w14:textId="77777777" w:rsidTr="00504ADE">
        <w:tc>
          <w:tcPr>
            <w:tcW w:w="5382" w:type="dxa"/>
            <w:shd w:val="clear" w:color="auto" w:fill="auto"/>
          </w:tcPr>
          <w:p w14:paraId="23AF2116" w14:textId="6ED2EE12" w:rsidR="00E50BBA" w:rsidRPr="000F11E7" w:rsidRDefault="00E50BBA" w:rsidP="00CB6A3A">
            <w:pPr>
              <w:spacing w:line="240" w:lineRule="auto"/>
              <w:contextualSpacing/>
              <w:rPr>
                <w:color w:val="000000" w:themeColor="text1"/>
              </w:rPr>
            </w:pPr>
            <w:r w:rsidRPr="000F11E7">
              <w:rPr>
                <w:color w:val="000000" w:themeColor="text1"/>
              </w:rPr>
              <w:t xml:space="preserve">Richard Potts / </w:t>
            </w:r>
            <w:r>
              <w:rPr>
                <w:color w:val="000000" w:themeColor="text1"/>
              </w:rPr>
              <w:t>Lucy Bowden</w:t>
            </w:r>
          </w:p>
        </w:tc>
        <w:tc>
          <w:tcPr>
            <w:tcW w:w="3798" w:type="dxa"/>
            <w:shd w:val="clear" w:color="auto" w:fill="auto"/>
          </w:tcPr>
          <w:p w14:paraId="10951F3D" w14:textId="77777777" w:rsidR="00E50BBA" w:rsidRPr="000F11E7" w:rsidRDefault="00E50BBA" w:rsidP="00CB6A3A">
            <w:pPr>
              <w:spacing w:line="240" w:lineRule="auto"/>
              <w:contextualSpacing/>
              <w:jc w:val="right"/>
              <w:rPr>
                <w:color w:val="000000" w:themeColor="text1"/>
              </w:rPr>
            </w:pPr>
            <w:r w:rsidRPr="000F11E7">
              <w:rPr>
                <w:noProof/>
                <w:color w:val="000000" w:themeColor="text1"/>
              </w:rPr>
              <w:t>020 7399 9400</w:t>
            </w:r>
          </w:p>
        </w:tc>
      </w:tr>
      <w:tr w:rsidR="00E50BBA" w:rsidRPr="000F11E7" w14:paraId="2A110FE2" w14:textId="77777777" w:rsidTr="00504ADE">
        <w:tc>
          <w:tcPr>
            <w:tcW w:w="5382" w:type="dxa"/>
            <w:shd w:val="clear" w:color="auto" w:fill="auto"/>
          </w:tcPr>
          <w:p w14:paraId="6E5B4C5C" w14:textId="77777777" w:rsidR="00E50BBA" w:rsidRPr="000F11E7" w:rsidRDefault="00E50BBA" w:rsidP="00CB6A3A">
            <w:pPr>
              <w:spacing w:line="240" w:lineRule="auto"/>
              <w:contextualSpacing/>
              <w:rPr>
                <w:color w:val="000000" w:themeColor="text1"/>
              </w:rPr>
            </w:pPr>
          </w:p>
        </w:tc>
        <w:tc>
          <w:tcPr>
            <w:tcW w:w="3798" w:type="dxa"/>
            <w:shd w:val="clear" w:color="auto" w:fill="auto"/>
          </w:tcPr>
          <w:p w14:paraId="3F8D4807" w14:textId="77777777" w:rsidR="00E50BBA" w:rsidRPr="000F11E7" w:rsidRDefault="00E50BBA" w:rsidP="00CB6A3A">
            <w:pPr>
              <w:spacing w:line="240" w:lineRule="auto"/>
              <w:contextualSpacing/>
              <w:jc w:val="right"/>
              <w:rPr>
                <w:noProof/>
                <w:color w:val="000000" w:themeColor="text1"/>
              </w:rPr>
            </w:pPr>
          </w:p>
        </w:tc>
      </w:tr>
      <w:tr w:rsidR="00E50BBA" w:rsidRPr="00504ADE" w14:paraId="06DE2DF6" w14:textId="77777777" w:rsidTr="00504ADE">
        <w:tc>
          <w:tcPr>
            <w:tcW w:w="5382" w:type="dxa"/>
            <w:shd w:val="clear" w:color="auto" w:fill="auto"/>
          </w:tcPr>
          <w:p w14:paraId="377577A2" w14:textId="5FD83777" w:rsidR="00E50BBA" w:rsidRPr="00E50BBA" w:rsidRDefault="00E50BBA" w:rsidP="00CB6A3A">
            <w:pPr>
              <w:spacing w:line="240" w:lineRule="auto"/>
              <w:contextualSpacing/>
              <w:rPr>
                <w:color w:val="000000" w:themeColor="text1"/>
              </w:rPr>
            </w:pPr>
          </w:p>
        </w:tc>
        <w:tc>
          <w:tcPr>
            <w:tcW w:w="3798" w:type="dxa"/>
            <w:shd w:val="clear" w:color="auto" w:fill="auto"/>
          </w:tcPr>
          <w:p w14:paraId="307B57A5" w14:textId="34F1A0FA" w:rsidR="00E50BBA" w:rsidRPr="00460887" w:rsidRDefault="00E50BBA" w:rsidP="00CB6A3A">
            <w:pPr>
              <w:spacing w:line="240" w:lineRule="auto"/>
              <w:contextualSpacing/>
              <w:jc w:val="right"/>
              <w:rPr>
                <w:noProof/>
                <w:color w:val="000000" w:themeColor="text1"/>
                <w:lang w:val="de-DE"/>
              </w:rPr>
            </w:pPr>
          </w:p>
        </w:tc>
      </w:tr>
    </w:tbl>
    <w:p w14:paraId="283F6866" w14:textId="77777777" w:rsidR="00504ADE" w:rsidRDefault="00504ADE">
      <w:r>
        <w:br w:type="page"/>
      </w:r>
    </w:p>
    <w:tbl>
      <w:tblPr>
        <w:tblW w:w="9751" w:type="dxa"/>
        <w:tblLayout w:type="fixed"/>
        <w:tblLook w:val="04A0" w:firstRow="1" w:lastRow="0" w:firstColumn="1" w:lastColumn="0" w:noHBand="0" w:noVBand="1"/>
      </w:tblPr>
      <w:tblGrid>
        <w:gridCol w:w="5382"/>
        <w:gridCol w:w="3690"/>
        <w:gridCol w:w="108"/>
        <w:gridCol w:w="571"/>
      </w:tblGrid>
      <w:tr w:rsidR="00E50BBA" w:rsidRPr="00504ADE" w14:paraId="57A0F346" w14:textId="77777777" w:rsidTr="00612569">
        <w:trPr>
          <w:gridAfter w:val="1"/>
          <w:wAfter w:w="571" w:type="dxa"/>
        </w:trPr>
        <w:tc>
          <w:tcPr>
            <w:tcW w:w="5382" w:type="dxa"/>
            <w:shd w:val="clear" w:color="auto" w:fill="auto"/>
          </w:tcPr>
          <w:p w14:paraId="1495E1C1" w14:textId="4A2A51F1" w:rsidR="00612569" w:rsidRPr="00460887" w:rsidRDefault="00612569" w:rsidP="00CB6A3A">
            <w:pPr>
              <w:spacing w:line="240" w:lineRule="auto"/>
              <w:contextualSpacing/>
              <w:rPr>
                <w:b/>
                <w:bCs/>
                <w:color w:val="000000"/>
                <w:lang w:val="de-DE" w:eastAsia="zh-CN"/>
              </w:rPr>
            </w:pPr>
          </w:p>
        </w:tc>
        <w:tc>
          <w:tcPr>
            <w:tcW w:w="3798" w:type="dxa"/>
            <w:gridSpan w:val="2"/>
            <w:shd w:val="clear" w:color="auto" w:fill="auto"/>
          </w:tcPr>
          <w:p w14:paraId="5502631B" w14:textId="77777777" w:rsidR="00E50BBA" w:rsidRPr="000F11E7" w:rsidRDefault="00E50BBA" w:rsidP="00CB6A3A">
            <w:pPr>
              <w:spacing w:line="240" w:lineRule="auto"/>
              <w:contextualSpacing/>
              <w:jc w:val="right"/>
              <w:rPr>
                <w:color w:val="000000"/>
                <w:lang w:val="de-DE" w:eastAsia="zh-CN"/>
              </w:rPr>
            </w:pPr>
          </w:p>
        </w:tc>
      </w:tr>
      <w:tr w:rsidR="00612569" w:rsidRPr="00460887" w14:paraId="43654036" w14:textId="77777777" w:rsidTr="00612569">
        <w:tc>
          <w:tcPr>
            <w:tcW w:w="9072" w:type="dxa"/>
            <w:gridSpan w:val="2"/>
            <w:shd w:val="clear" w:color="auto" w:fill="auto"/>
          </w:tcPr>
          <w:p w14:paraId="30D04405" w14:textId="5074E0A0" w:rsidR="00612569" w:rsidRPr="00612569" w:rsidRDefault="00612569" w:rsidP="00612569">
            <w:pPr>
              <w:pStyle w:val="cl"/>
              <w:spacing w:before="0" w:beforeAutospacing="0" w:line="253" w:lineRule="atLeast"/>
              <w:jc w:val="center"/>
              <w:rPr>
                <w:rFonts w:ascii="Arial" w:hAnsi="Arial" w:cs="Arial"/>
                <w:b/>
                <w:bCs/>
                <w:color w:val="000000"/>
                <w:sz w:val="20"/>
                <w:szCs w:val="20"/>
              </w:rPr>
            </w:pPr>
            <w:r w:rsidRPr="00E50BBA">
              <w:rPr>
                <w:rFonts w:ascii="Arial" w:hAnsi="Arial" w:cs="Arial"/>
                <w:b/>
                <w:bCs/>
                <w:color w:val="000000"/>
                <w:sz w:val="20"/>
                <w:szCs w:val="20"/>
              </w:rPr>
              <w:t>Notification and public disclosure of transaction by person discharging managerial responsibilities</w:t>
            </w:r>
          </w:p>
        </w:tc>
        <w:tc>
          <w:tcPr>
            <w:tcW w:w="679" w:type="dxa"/>
            <w:gridSpan w:val="2"/>
            <w:shd w:val="clear" w:color="auto" w:fill="auto"/>
          </w:tcPr>
          <w:p w14:paraId="40CE3F75" w14:textId="77777777" w:rsidR="00612569" w:rsidRPr="00504ADE" w:rsidRDefault="00612569" w:rsidP="00CB6A3A">
            <w:pPr>
              <w:spacing w:line="240" w:lineRule="auto"/>
              <w:contextualSpacing/>
              <w:jc w:val="right"/>
              <w:rPr>
                <w:color w:val="000000"/>
                <w:lang w:eastAsia="zh-CN"/>
              </w:rPr>
            </w:pPr>
          </w:p>
        </w:tc>
      </w:tr>
      <w:tr w:rsidR="00612569" w:rsidRPr="00460887" w14:paraId="3ED30BCF" w14:textId="77777777" w:rsidTr="00612569">
        <w:trPr>
          <w:gridAfter w:val="1"/>
          <w:wAfter w:w="571" w:type="dxa"/>
        </w:trPr>
        <w:tc>
          <w:tcPr>
            <w:tcW w:w="5382" w:type="dxa"/>
            <w:shd w:val="clear" w:color="auto" w:fill="auto"/>
          </w:tcPr>
          <w:p w14:paraId="22141560" w14:textId="77777777" w:rsidR="00612569" w:rsidRPr="00504ADE" w:rsidRDefault="00612569" w:rsidP="00CB6A3A">
            <w:pPr>
              <w:spacing w:line="240" w:lineRule="auto"/>
              <w:contextualSpacing/>
              <w:rPr>
                <w:b/>
                <w:bCs/>
                <w:color w:val="000000"/>
                <w:lang w:eastAsia="zh-CN"/>
              </w:rPr>
            </w:pPr>
          </w:p>
        </w:tc>
        <w:tc>
          <w:tcPr>
            <w:tcW w:w="3798" w:type="dxa"/>
            <w:gridSpan w:val="2"/>
            <w:shd w:val="clear" w:color="auto" w:fill="auto"/>
          </w:tcPr>
          <w:p w14:paraId="7784DB03" w14:textId="77777777" w:rsidR="00612569" w:rsidRPr="00504ADE" w:rsidRDefault="00612569" w:rsidP="00CB6A3A">
            <w:pPr>
              <w:spacing w:line="240" w:lineRule="auto"/>
              <w:contextualSpacing/>
              <w:jc w:val="right"/>
              <w:rPr>
                <w:color w:val="000000"/>
                <w:lang w:eastAsia="zh-CN"/>
              </w:rPr>
            </w:pPr>
          </w:p>
        </w:tc>
      </w:tr>
    </w:tbl>
    <w:p w14:paraId="217B56D0" w14:textId="77777777" w:rsidR="00F520C9" w:rsidRPr="00F520C9" w:rsidRDefault="00F520C9" w:rsidP="00F520C9">
      <w:pPr>
        <w:rPr>
          <w:rFonts w:asciiTheme="minorHAnsi" w:hAnsiTheme="minorHAnsi"/>
        </w:rPr>
      </w:pPr>
    </w:p>
    <w:tbl>
      <w:tblPr>
        <w:tblW w:w="9752" w:type="dxa"/>
        <w:tblInd w:w="93" w:type="dxa"/>
        <w:tblLayout w:type="fixed"/>
        <w:tblLook w:val="04A0" w:firstRow="1" w:lastRow="0" w:firstColumn="1" w:lastColumn="0" w:noHBand="0" w:noVBand="1"/>
      </w:tblPr>
      <w:tblGrid>
        <w:gridCol w:w="611"/>
        <w:gridCol w:w="4265"/>
        <w:gridCol w:w="1689"/>
        <w:gridCol w:w="3187"/>
      </w:tblGrid>
      <w:tr w:rsidR="00083215" w:rsidRPr="00E50BBA" w14:paraId="388A6CE2" w14:textId="3A08674A" w:rsidTr="00615FA4">
        <w:trPr>
          <w:trHeight w:val="720"/>
        </w:trPr>
        <w:tc>
          <w:tcPr>
            <w:tcW w:w="611" w:type="dxa"/>
            <w:tcBorders>
              <w:top w:val="single" w:sz="4" w:space="0" w:color="auto"/>
              <w:left w:val="single" w:sz="4" w:space="0" w:color="auto"/>
              <w:bottom w:val="single" w:sz="4" w:space="0" w:color="auto"/>
              <w:right w:val="single" w:sz="4" w:space="0" w:color="auto"/>
            </w:tcBorders>
            <w:shd w:val="clear" w:color="000000" w:fill="C5D9F1"/>
            <w:noWrap/>
            <w:hideMark/>
          </w:tcPr>
          <w:p w14:paraId="6BD7E209" w14:textId="77777777" w:rsidR="00083215" w:rsidRPr="00E50BBA" w:rsidRDefault="00083215" w:rsidP="00F520C9">
            <w:pPr>
              <w:spacing w:before="0" w:line="240" w:lineRule="auto"/>
              <w:jc w:val="left"/>
              <w:rPr>
                <w:b/>
                <w:bCs/>
                <w:color w:val="000000"/>
                <w:lang w:eastAsia="en-GB"/>
              </w:rPr>
            </w:pPr>
            <w:r w:rsidRPr="00E50BBA">
              <w:rPr>
                <w:b/>
                <w:bCs/>
                <w:color w:val="000000"/>
                <w:lang w:eastAsia="en-GB"/>
              </w:rPr>
              <w:t>1</w:t>
            </w:r>
          </w:p>
        </w:tc>
        <w:tc>
          <w:tcPr>
            <w:tcW w:w="9141" w:type="dxa"/>
            <w:gridSpan w:val="3"/>
            <w:tcBorders>
              <w:top w:val="single" w:sz="4" w:space="0" w:color="auto"/>
              <w:left w:val="single" w:sz="4" w:space="0" w:color="auto"/>
              <w:bottom w:val="single" w:sz="4" w:space="0" w:color="auto"/>
              <w:right w:val="single" w:sz="4" w:space="0" w:color="auto"/>
            </w:tcBorders>
            <w:shd w:val="clear" w:color="000000" w:fill="C5D9F1"/>
            <w:noWrap/>
            <w:hideMark/>
          </w:tcPr>
          <w:p w14:paraId="6F6F5799" w14:textId="1A01E44B" w:rsidR="00083215" w:rsidRPr="00E50BBA" w:rsidRDefault="00083215" w:rsidP="00F520C9">
            <w:pPr>
              <w:spacing w:before="0" w:line="240" w:lineRule="auto"/>
              <w:jc w:val="left"/>
              <w:rPr>
                <w:b/>
                <w:bCs/>
                <w:color w:val="000000"/>
                <w:lang w:eastAsia="en-GB"/>
              </w:rPr>
            </w:pPr>
            <w:r w:rsidRPr="00E50BBA">
              <w:rPr>
                <w:b/>
                <w:bCs/>
                <w:color w:val="000000"/>
                <w:lang w:eastAsia="en-GB"/>
              </w:rPr>
              <w:t>Details of the person discharging managerial responsibilities/person closely associated</w:t>
            </w:r>
          </w:p>
        </w:tc>
      </w:tr>
      <w:tr w:rsidR="00083215" w:rsidRPr="00E50BBA" w14:paraId="21F027B2" w14:textId="1D8080FF" w:rsidTr="00083215">
        <w:trPr>
          <w:trHeight w:val="560"/>
        </w:trPr>
        <w:tc>
          <w:tcPr>
            <w:tcW w:w="611" w:type="dxa"/>
            <w:tcBorders>
              <w:top w:val="nil"/>
              <w:left w:val="single" w:sz="4" w:space="0" w:color="auto"/>
              <w:bottom w:val="single" w:sz="4" w:space="0" w:color="auto"/>
              <w:right w:val="single" w:sz="4" w:space="0" w:color="auto"/>
            </w:tcBorders>
            <w:shd w:val="clear" w:color="000000" w:fill="DCE6F1"/>
            <w:hideMark/>
          </w:tcPr>
          <w:p w14:paraId="317FEE2C" w14:textId="77777777" w:rsidR="00083215" w:rsidRPr="00E50BBA" w:rsidRDefault="00083215" w:rsidP="00F520C9">
            <w:pPr>
              <w:spacing w:before="0" w:line="240" w:lineRule="auto"/>
              <w:jc w:val="left"/>
              <w:rPr>
                <w:color w:val="000000"/>
                <w:lang w:eastAsia="en-GB"/>
              </w:rPr>
            </w:pPr>
            <w:r w:rsidRPr="00E50BBA">
              <w:rPr>
                <w:color w:val="000000"/>
                <w:lang w:eastAsia="en-GB"/>
              </w:rPr>
              <w:t>a.</w:t>
            </w:r>
          </w:p>
        </w:tc>
        <w:tc>
          <w:tcPr>
            <w:tcW w:w="4265" w:type="dxa"/>
            <w:tcBorders>
              <w:top w:val="nil"/>
              <w:left w:val="nil"/>
              <w:bottom w:val="nil"/>
              <w:right w:val="single" w:sz="4" w:space="0" w:color="auto"/>
            </w:tcBorders>
            <w:shd w:val="clear" w:color="000000" w:fill="DCE6F1"/>
            <w:hideMark/>
          </w:tcPr>
          <w:p w14:paraId="13E0E02F" w14:textId="77777777" w:rsidR="00083215" w:rsidRPr="00E50BBA" w:rsidRDefault="00083215" w:rsidP="00F520C9">
            <w:pPr>
              <w:spacing w:before="0" w:line="240" w:lineRule="auto"/>
              <w:jc w:val="left"/>
              <w:rPr>
                <w:color w:val="000000"/>
                <w:lang w:eastAsia="en-GB"/>
              </w:rPr>
            </w:pPr>
            <w:r w:rsidRPr="00E50BBA">
              <w:rPr>
                <w:color w:val="000000"/>
                <w:lang w:eastAsia="en-GB"/>
              </w:rPr>
              <w:t>Name</w:t>
            </w:r>
          </w:p>
        </w:tc>
        <w:tc>
          <w:tcPr>
            <w:tcW w:w="1689" w:type="dxa"/>
            <w:tcBorders>
              <w:top w:val="single" w:sz="4" w:space="0" w:color="auto"/>
              <w:left w:val="nil"/>
              <w:bottom w:val="single" w:sz="4" w:space="0" w:color="auto"/>
              <w:right w:val="single" w:sz="4" w:space="0" w:color="auto"/>
            </w:tcBorders>
            <w:shd w:val="clear" w:color="000000" w:fill="FFFFFF"/>
            <w:hideMark/>
          </w:tcPr>
          <w:p w14:paraId="35052884" w14:textId="1332C4E2" w:rsidR="00083215" w:rsidRPr="00E50BBA" w:rsidRDefault="00083215" w:rsidP="00F520C9">
            <w:pPr>
              <w:spacing w:before="0" w:line="240" w:lineRule="auto"/>
              <w:jc w:val="left"/>
              <w:rPr>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65E16637" w14:textId="707E4BBF" w:rsidR="00083215" w:rsidRPr="00504ADE" w:rsidRDefault="00083215" w:rsidP="00504ADE">
            <w:pPr>
              <w:pStyle w:val="ListParagraph"/>
              <w:spacing w:before="0" w:line="240" w:lineRule="auto"/>
              <w:jc w:val="left"/>
              <w:rPr>
                <w:color w:val="000000"/>
                <w:lang w:eastAsia="en-GB"/>
              </w:rPr>
            </w:pPr>
            <w:r>
              <w:rPr>
                <w:color w:val="000000"/>
                <w:lang w:eastAsia="en-GB"/>
              </w:rPr>
              <w:t>Simon McGivern</w:t>
            </w:r>
          </w:p>
        </w:tc>
      </w:tr>
      <w:tr w:rsidR="00083215" w:rsidRPr="00E50BBA" w14:paraId="226E08BF" w14:textId="131B32EF" w:rsidTr="00083215">
        <w:trPr>
          <w:trHeight w:val="675"/>
        </w:trPr>
        <w:tc>
          <w:tcPr>
            <w:tcW w:w="611" w:type="dxa"/>
            <w:tcBorders>
              <w:top w:val="single" w:sz="4" w:space="0" w:color="auto"/>
              <w:left w:val="single" w:sz="4" w:space="0" w:color="auto"/>
              <w:bottom w:val="single" w:sz="4" w:space="0" w:color="auto"/>
              <w:right w:val="single" w:sz="4" w:space="0" w:color="auto"/>
            </w:tcBorders>
            <w:shd w:val="clear" w:color="000000" w:fill="C5D9F1"/>
            <w:hideMark/>
          </w:tcPr>
          <w:p w14:paraId="152FA60B" w14:textId="77777777" w:rsidR="00083215" w:rsidRPr="00E50BBA" w:rsidRDefault="00083215" w:rsidP="00F520C9">
            <w:pPr>
              <w:spacing w:before="0" w:line="240" w:lineRule="auto"/>
              <w:jc w:val="left"/>
              <w:rPr>
                <w:b/>
                <w:bCs/>
                <w:color w:val="000000"/>
                <w:lang w:eastAsia="en-GB"/>
              </w:rPr>
            </w:pPr>
            <w:r w:rsidRPr="00E50BBA">
              <w:rPr>
                <w:b/>
                <w:bCs/>
                <w:color w:val="000000"/>
                <w:lang w:eastAsia="en-GB"/>
              </w:rPr>
              <w:t>2</w:t>
            </w:r>
          </w:p>
        </w:tc>
        <w:tc>
          <w:tcPr>
            <w:tcW w:w="4265" w:type="dxa"/>
            <w:tcBorders>
              <w:top w:val="single" w:sz="4" w:space="0" w:color="auto"/>
              <w:left w:val="single" w:sz="4" w:space="0" w:color="auto"/>
              <w:bottom w:val="single" w:sz="4" w:space="0" w:color="auto"/>
              <w:right w:val="single" w:sz="4" w:space="0" w:color="auto"/>
            </w:tcBorders>
            <w:shd w:val="clear" w:color="000000" w:fill="C5D9F1"/>
            <w:hideMark/>
          </w:tcPr>
          <w:p w14:paraId="6001A752" w14:textId="77777777" w:rsidR="00083215" w:rsidRPr="00E50BBA" w:rsidRDefault="00083215" w:rsidP="00F520C9">
            <w:pPr>
              <w:spacing w:before="0" w:line="240" w:lineRule="auto"/>
              <w:jc w:val="left"/>
              <w:rPr>
                <w:b/>
                <w:bCs/>
                <w:color w:val="000000"/>
                <w:lang w:eastAsia="en-GB"/>
              </w:rPr>
            </w:pPr>
            <w:r w:rsidRPr="00E50BBA">
              <w:rPr>
                <w:b/>
                <w:bCs/>
                <w:color w:val="000000"/>
                <w:lang w:eastAsia="en-GB"/>
              </w:rPr>
              <w:t>Reason for notification</w:t>
            </w:r>
          </w:p>
        </w:tc>
        <w:tc>
          <w:tcPr>
            <w:tcW w:w="1689" w:type="dxa"/>
            <w:tcBorders>
              <w:top w:val="single" w:sz="4" w:space="0" w:color="auto"/>
              <w:left w:val="single" w:sz="4" w:space="0" w:color="auto"/>
              <w:bottom w:val="single" w:sz="4" w:space="0" w:color="auto"/>
              <w:right w:val="single" w:sz="4" w:space="0" w:color="auto"/>
            </w:tcBorders>
            <w:shd w:val="clear" w:color="000000" w:fill="C5D9F1"/>
            <w:noWrap/>
            <w:hideMark/>
          </w:tcPr>
          <w:p w14:paraId="3A7CDEE3" w14:textId="77777777" w:rsidR="00083215" w:rsidRPr="00E50BBA" w:rsidRDefault="00083215" w:rsidP="00F520C9">
            <w:pPr>
              <w:spacing w:before="0" w:line="240" w:lineRule="auto"/>
              <w:jc w:val="left"/>
              <w:rPr>
                <w:color w:val="000000"/>
                <w:lang w:eastAsia="en-GB"/>
              </w:rPr>
            </w:pPr>
            <w:r w:rsidRPr="00E50BBA">
              <w:rPr>
                <w:color w:val="000000"/>
                <w:lang w:eastAsia="en-GB"/>
              </w:rPr>
              <w:t> </w:t>
            </w:r>
          </w:p>
          <w:p w14:paraId="637F8C18" w14:textId="77777777" w:rsidR="00083215" w:rsidRPr="00E50BBA" w:rsidRDefault="00083215" w:rsidP="00F520C9">
            <w:pPr>
              <w:spacing w:before="0" w:line="240" w:lineRule="auto"/>
              <w:jc w:val="left"/>
              <w:rPr>
                <w:color w:val="000000"/>
                <w:lang w:eastAsia="en-GB"/>
              </w:rPr>
            </w:pPr>
            <w:r w:rsidRPr="00E50BBA">
              <w:rPr>
                <w:color w:val="000000"/>
                <w:lang w:eastAsia="en-GB"/>
              </w:rPr>
              <w:t> </w:t>
            </w:r>
          </w:p>
          <w:p w14:paraId="2F2E688F" w14:textId="77777777" w:rsidR="00083215" w:rsidRPr="00E50BBA" w:rsidRDefault="00083215" w:rsidP="00F520C9">
            <w:pPr>
              <w:spacing w:before="0" w:line="240" w:lineRule="auto"/>
              <w:jc w:val="left"/>
              <w:rPr>
                <w:color w:val="000000"/>
                <w:lang w:eastAsia="en-GB"/>
              </w:rPr>
            </w:pPr>
            <w:r w:rsidRPr="00E50BBA">
              <w:rPr>
                <w:color w:val="000000"/>
                <w:lang w:eastAsia="en-GB"/>
              </w:rPr>
              <w:t> </w:t>
            </w:r>
          </w:p>
        </w:tc>
        <w:tc>
          <w:tcPr>
            <w:tcW w:w="3187" w:type="dxa"/>
            <w:tcBorders>
              <w:top w:val="single" w:sz="4" w:space="0" w:color="auto"/>
              <w:left w:val="single" w:sz="4" w:space="0" w:color="auto"/>
              <w:bottom w:val="single" w:sz="4" w:space="0" w:color="auto"/>
              <w:right w:val="single" w:sz="4" w:space="0" w:color="auto"/>
            </w:tcBorders>
            <w:shd w:val="clear" w:color="000000" w:fill="C5D9F1"/>
          </w:tcPr>
          <w:p w14:paraId="157DC455" w14:textId="77777777" w:rsidR="00083215" w:rsidRPr="00E50BBA" w:rsidRDefault="00083215" w:rsidP="00F520C9">
            <w:pPr>
              <w:spacing w:before="0" w:line="240" w:lineRule="auto"/>
              <w:jc w:val="left"/>
              <w:rPr>
                <w:color w:val="000000"/>
                <w:lang w:eastAsia="en-GB"/>
              </w:rPr>
            </w:pPr>
          </w:p>
        </w:tc>
      </w:tr>
      <w:tr w:rsidR="00083215" w:rsidRPr="00E50BBA" w14:paraId="63BD43CC" w14:textId="14E1ABA0" w:rsidTr="00504ADE">
        <w:trPr>
          <w:trHeight w:val="471"/>
        </w:trPr>
        <w:tc>
          <w:tcPr>
            <w:tcW w:w="611" w:type="dxa"/>
            <w:tcBorders>
              <w:top w:val="nil"/>
              <w:left w:val="single" w:sz="4" w:space="0" w:color="auto"/>
              <w:bottom w:val="single" w:sz="4" w:space="0" w:color="auto"/>
              <w:right w:val="single" w:sz="4" w:space="0" w:color="auto"/>
            </w:tcBorders>
            <w:shd w:val="clear" w:color="000000" w:fill="DCE6F1"/>
            <w:hideMark/>
          </w:tcPr>
          <w:p w14:paraId="72525635" w14:textId="77777777" w:rsidR="00083215" w:rsidRPr="00E50BBA" w:rsidRDefault="00083215" w:rsidP="00F520C9">
            <w:pPr>
              <w:spacing w:before="0" w:line="240" w:lineRule="auto"/>
              <w:jc w:val="left"/>
              <w:rPr>
                <w:color w:val="000000"/>
                <w:lang w:eastAsia="en-GB"/>
              </w:rPr>
            </w:pPr>
            <w:r w:rsidRPr="00E50BBA">
              <w:rPr>
                <w:color w:val="000000"/>
                <w:lang w:eastAsia="en-GB"/>
              </w:rPr>
              <w:t>a.</w:t>
            </w:r>
          </w:p>
        </w:tc>
        <w:tc>
          <w:tcPr>
            <w:tcW w:w="4265" w:type="dxa"/>
            <w:tcBorders>
              <w:top w:val="nil"/>
              <w:left w:val="nil"/>
              <w:bottom w:val="single" w:sz="4" w:space="0" w:color="auto"/>
              <w:right w:val="single" w:sz="4" w:space="0" w:color="auto"/>
            </w:tcBorders>
            <w:shd w:val="clear" w:color="000000" w:fill="DCE6F1"/>
            <w:hideMark/>
          </w:tcPr>
          <w:p w14:paraId="5BC232C0" w14:textId="77777777" w:rsidR="00083215" w:rsidRPr="00E50BBA" w:rsidRDefault="00083215" w:rsidP="00F520C9">
            <w:pPr>
              <w:spacing w:before="0" w:line="240" w:lineRule="auto"/>
              <w:jc w:val="left"/>
              <w:rPr>
                <w:color w:val="000000"/>
                <w:lang w:eastAsia="en-GB"/>
              </w:rPr>
            </w:pPr>
            <w:r w:rsidRPr="00E50BBA">
              <w:rPr>
                <w:color w:val="000000"/>
                <w:lang w:eastAsia="en-GB"/>
              </w:rPr>
              <w:t>Position/Status</w:t>
            </w:r>
          </w:p>
        </w:tc>
        <w:tc>
          <w:tcPr>
            <w:tcW w:w="1689" w:type="dxa"/>
            <w:tcBorders>
              <w:top w:val="single" w:sz="4" w:space="0" w:color="auto"/>
              <w:left w:val="nil"/>
              <w:bottom w:val="single" w:sz="4" w:space="0" w:color="auto"/>
              <w:right w:val="single" w:sz="4" w:space="0" w:color="auto"/>
            </w:tcBorders>
            <w:shd w:val="clear" w:color="000000" w:fill="FFFFFF"/>
            <w:hideMark/>
          </w:tcPr>
          <w:p w14:paraId="4421E78F" w14:textId="7A9F04F9" w:rsidR="00083215" w:rsidRPr="00E50BBA" w:rsidRDefault="00083215" w:rsidP="00F520C9">
            <w:pPr>
              <w:spacing w:before="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0EA42CAA" w14:textId="4D40B0BA" w:rsidR="00083215" w:rsidRDefault="00ED651A" w:rsidP="00504ADE">
            <w:pPr>
              <w:pStyle w:val="ListParagraph"/>
              <w:spacing w:before="0" w:line="240" w:lineRule="auto"/>
              <w:jc w:val="left"/>
              <w:rPr>
                <w:iCs/>
                <w:color w:val="000000"/>
                <w:lang w:eastAsia="en-GB"/>
              </w:rPr>
            </w:pPr>
            <w:r>
              <w:rPr>
                <w:iCs/>
                <w:color w:val="000000"/>
                <w:lang w:eastAsia="en-GB"/>
              </w:rPr>
              <w:t xml:space="preserve">Group CEO </w:t>
            </w:r>
          </w:p>
          <w:p w14:paraId="3081DC30" w14:textId="336A36A0" w:rsidR="00D303EF" w:rsidRPr="00236A2F" w:rsidRDefault="00D303EF" w:rsidP="00504ADE">
            <w:pPr>
              <w:pStyle w:val="ListParagraph"/>
              <w:spacing w:before="0" w:line="240" w:lineRule="auto"/>
              <w:jc w:val="left"/>
              <w:rPr>
                <w:iCs/>
                <w:color w:val="000000"/>
                <w:lang w:eastAsia="en-GB"/>
              </w:rPr>
            </w:pPr>
          </w:p>
        </w:tc>
      </w:tr>
      <w:tr w:rsidR="00083215" w:rsidRPr="00E50BBA" w14:paraId="26CC85A6" w14:textId="00E8E6B9" w:rsidTr="00083215">
        <w:trPr>
          <w:trHeight w:val="548"/>
        </w:trPr>
        <w:tc>
          <w:tcPr>
            <w:tcW w:w="611" w:type="dxa"/>
            <w:tcBorders>
              <w:top w:val="nil"/>
              <w:left w:val="single" w:sz="4" w:space="0" w:color="auto"/>
              <w:bottom w:val="single" w:sz="4" w:space="0" w:color="auto"/>
              <w:right w:val="single" w:sz="4" w:space="0" w:color="auto"/>
            </w:tcBorders>
            <w:shd w:val="clear" w:color="000000" w:fill="DCE6F1"/>
            <w:hideMark/>
          </w:tcPr>
          <w:p w14:paraId="6EDEC3B2" w14:textId="77777777" w:rsidR="00083215" w:rsidRPr="00E50BBA" w:rsidRDefault="00083215" w:rsidP="00F520C9">
            <w:pPr>
              <w:spacing w:before="0" w:line="240" w:lineRule="auto"/>
              <w:jc w:val="left"/>
              <w:rPr>
                <w:color w:val="000000"/>
                <w:lang w:eastAsia="en-GB"/>
              </w:rPr>
            </w:pPr>
            <w:r w:rsidRPr="00E50BBA">
              <w:rPr>
                <w:color w:val="000000"/>
                <w:lang w:eastAsia="en-GB"/>
              </w:rPr>
              <w:t>b.</w:t>
            </w:r>
          </w:p>
        </w:tc>
        <w:tc>
          <w:tcPr>
            <w:tcW w:w="4265" w:type="dxa"/>
            <w:tcBorders>
              <w:top w:val="nil"/>
              <w:left w:val="nil"/>
              <w:bottom w:val="single" w:sz="4" w:space="0" w:color="auto"/>
              <w:right w:val="single" w:sz="4" w:space="0" w:color="auto"/>
            </w:tcBorders>
            <w:shd w:val="clear" w:color="000000" w:fill="DCE6F1"/>
            <w:hideMark/>
          </w:tcPr>
          <w:p w14:paraId="730674A7" w14:textId="77777777" w:rsidR="00083215" w:rsidRPr="00E50BBA" w:rsidRDefault="00083215" w:rsidP="00F520C9">
            <w:pPr>
              <w:spacing w:before="0" w:line="240" w:lineRule="auto"/>
              <w:jc w:val="left"/>
              <w:rPr>
                <w:color w:val="000000"/>
                <w:lang w:eastAsia="en-GB"/>
              </w:rPr>
            </w:pPr>
            <w:r w:rsidRPr="00E50BBA">
              <w:rPr>
                <w:color w:val="000000"/>
                <w:lang w:eastAsia="en-GB"/>
              </w:rPr>
              <w:t>Initial notification/</w:t>
            </w:r>
          </w:p>
          <w:p w14:paraId="59B62792" w14:textId="77777777" w:rsidR="00083215" w:rsidRPr="00E50BBA" w:rsidRDefault="00083215" w:rsidP="00F520C9">
            <w:pPr>
              <w:spacing w:before="0" w:line="240" w:lineRule="auto"/>
              <w:jc w:val="left"/>
              <w:rPr>
                <w:color w:val="000000"/>
                <w:lang w:eastAsia="en-GB"/>
              </w:rPr>
            </w:pPr>
            <w:r w:rsidRPr="00E50BBA">
              <w:rPr>
                <w:color w:val="000000"/>
                <w:lang w:eastAsia="en-GB"/>
              </w:rPr>
              <w:t>Amendment</w:t>
            </w:r>
          </w:p>
        </w:tc>
        <w:tc>
          <w:tcPr>
            <w:tcW w:w="1689" w:type="dxa"/>
            <w:tcBorders>
              <w:top w:val="single" w:sz="4" w:space="0" w:color="auto"/>
              <w:left w:val="nil"/>
              <w:bottom w:val="single" w:sz="4" w:space="0" w:color="auto"/>
              <w:right w:val="single" w:sz="4" w:space="0" w:color="auto"/>
            </w:tcBorders>
            <w:shd w:val="clear" w:color="000000" w:fill="FFFFFF"/>
            <w:hideMark/>
          </w:tcPr>
          <w:p w14:paraId="3C190473" w14:textId="418EBE5E" w:rsidR="00083215" w:rsidRPr="00E50BBA" w:rsidRDefault="00083215" w:rsidP="00F520C9">
            <w:pPr>
              <w:spacing w:before="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01E7ED0D" w14:textId="79F57BBD" w:rsidR="00083215" w:rsidRPr="00E50BBA" w:rsidRDefault="00BC27AD" w:rsidP="00F520C9">
            <w:pPr>
              <w:spacing w:before="0" w:line="240" w:lineRule="auto"/>
              <w:jc w:val="left"/>
              <w:rPr>
                <w:iCs/>
                <w:color w:val="000000"/>
                <w:lang w:eastAsia="en-GB"/>
              </w:rPr>
            </w:pPr>
            <w:r>
              <w:rPr>
                <w:iCs/>
                <w:color w:val="000000"/>
                <w:lang w:eastAsia="en-GB"/>
              </w:rPr>
              <w:t>Initial</w:t>
            </w:r>
            <w:r w:rsidR="008F59AC">
              <w:rPr>
                <w:iCs/>
                <w:color w:val="000000"/>
                <w:lang w:eastAsia="en-GB"/>
              </w:rPr>
              <w:t xml:space="preserve"> notification</w:t>
            </w:r>
          </w:p>
        </w:tc>
      </w:tr>
      <w:tr w:rsidR="00083215" w:rsidRPr="00E50BBA" w14:paraId="0A1CC0F1" w14:textId="397DB4C9" w:rsidTr="00CE26CC">
        <w:trPr>
          <w:trHeight w:val="675"/>
        </w:trPr>
        <w:tc>
          <w:tcPr>
            <w:tcW w:w="611" w:type="dxa"/>
            <w:tcBorders>
              <w:top w:val="single" w:sz="4" w:space="0" w:color="auto"/>
              <w:left w:val="single" w:sz="4" w:space="0" w:color="auto"/>
              <w:bottom w:val="nil"/>
              <w:right w:val="single" w:sz="4" w:space="0" w:color="auto"/>
            </w:tcBorders>
            <w:shd w:val="clear" w:color="000000" w:fill="C5D9F1"/>
            <w:hideMark/>
          </w:tcPr>
          <w:p w14:paraId="0F2FEAEE" w14:textId="77777777" w:rsidR="00083215" w:rsidRPr="00E50BBA" w:rsidRDefault="00083215" w:rsidP="00F520C9">
            <w:pPr>
              <w:spacing w:before="0" w:line="240" w:lineRule="auto"/>
              <w:jc w:val="left"/>
              <w:rPr>
                <w:b/>
                <w:bCs/>
                <w:color w:val="000000"/>
                <w:lang w:eastAsia="en-GB"/>
              </w:rPr>
            </w:pPr>
            <w:r w:rsidRPr="00E50BBA">
              <w:rPr>
                <w:b/>
                <w:bCs/>
                <w:color w:val="000000"/>
                <w:lang w:eastAsia="en-GB"/>
              </w:rPr>
              <w:t>3</w:t>
            </w:r>
          </w:p>
        </w:tc>
        <w:tc>
          <w:tcPr>
            <w:tcW w:w="9141" w:type="dxa"/>
            <w:gridSpan w:val="3"/>
            <w:tcBorders>
              <w:top w:val="single" w:sz="4" w:space="0" w:color="auto"/>
              <w:left w:val="nil"/>
              <w:bottom w:val="single" w:sz="4" w:space="0" w:color="auto"/>
              <w:right w:val="single" w:sz="4" w:space="0" w:color="auto"/>
            </w:tcBorders>
            <w:shd w:val="clear" w:color="000000" w:fill="C5D9F1"/>
            <w:hideMark/>
          </w:tcPr>
          <w:p w14:paraId="268D56AD" w14:textId="2B73ABC1" w:rsidR="00083215" w:rsidRPr="00E50BBA" w:rsidRDefault="00083215" w:rsidP="00F520C9">
            <w:pPr>
              <w:spacing w:before="0" w:line="240" w:lineRule="auto"/>
              <w:jc w:val="left"/>
              <w:rPr>
                <w:b/>
                <w:bCs/>
                <w:color w:val="000000"/>
                <w:lang w:eastAsia="en-GB"/>
              </w:rPr>
            </w:pPr>
            <w:r w:rsidRPr="00E50BBA">
              <w:rPr>
                <w:b/>
                <w:bCs/>
                <w:color w:val="000000"/>
                <w:lang w:eastAsia="en-GB"/>
              </w:rPr>
              <w:t>Details of the issuer, emission allowance market participant, auction platform, auctioneer or auction monitor</w:t>
            </w:r>
          </w:p>
        </w:tc>
      </w:tr>
      <w:tr w:rsidR="00083215" w:rsidRPr="00E50BBA" w14:paraId="39F06C71" w14:textId="1742F94D" w:rsidTr="00083215">
        <w:trPr>
          <w:trHeight w:val="600"/>
        </w:trPr>
        <w:tc>
          <w:tcPr>
            <w:tcW w:w="611" w:type="dxa"/>
            <w:tcBorders>
              <w:top w:val="single" w:sz="4" w:space="0" w:color="auto"/>
              <w:left w:val="single" w:sz="4" w:space="0" w:color="auto"/>
              <w:bottom w:val="single" w:sz="4" w:space="0" w:color="auto"/>
              <w:right w:val="single" w:sz="4" w:space="0" w:color="auto"/>
            </w:tcBorders>
            <w:shd w:val="clear" w:color="000000" w:fill="DCE6F1"/>
            <w:hideMark/>
          </w:tcPr>
          <w:p w14:paraId="0C22A423" w14:textId="77777777" w:rsidR="00083215" w:rsidRPr="00E50BBA" w:rsidRDefault="00083215" w:rsidP="00F520C9">
            <w:pPr>
              <w:spacing w:before="0" w:line="240" w:lineRule="auto"/>
              <w:jc w:val="left"/>
              <w:rPr>
                <w:color w:val="000000"/>
                <w:lang w:eastAsia="en-GB"/>
              </w:rPr>
            </w:pPr>
            <w:r w:rsidRPr="00E50BBA">
              <w:rPr>
                <w:color w:val="000000"/>
                <w:lang w:eastAsia="en-GB"/>
              </w:rPr>
              <w:t>a.</w:t>
            </w:r>
          </w:p>
        </w:tc>
        <w:tc>
          <w:tcPr>
            <w:tcW w:w="4265" w:type="dxa"/>
            <w:tcBorders>
              <w:top w:val="single" w:sz="4" w:space="0" w:color="auto"/>
              <w:left w:val="nil"/>
              <w:bottom w:val="single" w:sz="4" w:space="0" w:color="auto"/>
              <w:right w:val="single" w:sz="4" w:space="0" w:color="auto"/>
            </w:tcBorders>
            <w:shd w:val="clear" w:color="000000" w:fill="DCE6F1"/>
            <w:hideMark/>
          </w:tcPr>
          <w:p w14:paraId="27FF8A3D" w14:textId="77777777" w:rsidR="00083215" w:rsidRPr="00E50BBA" w:rsidRDefault="00083215" w:rsidP="00F520C9">
            <w:pPr>
              <w:spacing w:before="0" w:line="240" w:lineRule="auto"/>
              <w:jc w:val="left"/>
              <w:rPr>
                <w:color w:val="000000"/>
                <w:lang w:eastAsia="en-GB"/>
              </w:rPr>
            </w:pPr>
            <w:r w:rsidRPr="00E50BBA">
              <w:rPr>
                <w:color w:val="000000"/>
                <w:lang w:eastAsia="en-GB"/>
              </w:rPr>
              <w:t>Name</w:t>
            </w:r>
          </w:p>
        </w:tc>
        <w:tc>
          <w:tcPr>
            <w:tcW w:w="1689" w:type="dxa"/>
            <w:tcBorders>
              <w:top w:val="single" w:sz="4" w:space="0" w:color="auto"/>
              <w:left w:val="nil"/>
              <w:bottom w:val="single" w:sz="4" w:space="0" w:color="auto"/>
              <w:right w:val="single" w:sz="4" w:space="0" w:color="auto"/>
            </w:tcBorders>
            <w:shd w:val="clear" w:color="000000" w:fill="FFFFFF"/>
            <w:noWrap/>
            <w:hideMark/>
          </w:tcPr>
          <w:p w14:paraId="1167107E" w14:textId="0E1CDBA0" w:rsidR="00083215" w:rsidRPr="00E50BBA" w:rsidRDefault="00083215" w:rsidP="00F520C9">
            <w:pPr>
              <w:spacing w:before="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7F62B943" w14:textId="4E8C3852" w:rsidR="00083215" w:rsidRPr="00E50BBA" w:rsidRDefault="00BC27AD" w:rsidP="00F520C9">
            <w:pPr>
              <w:spacing w:before="0" w:line="240" w:lineRule="auto"/>
              <w:jc w:val="left"/>
              <w:rPr>
                <w:iCs/>
                <w:color w:val="000000"/>
                <w:lang w:eastAsia="en-GB"/>
              </w:rPr>
            </w:pPr>
            <w:r>
              <w:rPr>
                <w:iCs/>
                <w:color w:val="000000"/>
                <w:lang w:eastAsia="en-GB"/>
              </w:rPr>
              <w:t>Oberon Investments Group plc</w:t>
            </w:r>
          </w:p>
        </w:tc>
      </w:tr>
      <w:tr w:rsidR="00083215" w:rsidRPr="00E50BBA" w14:paraId="6AA47B5E" w14:textId="096A4BAF" w:rsidTr="00083215">
        <w:trPr>
          <w:trHeight w:val="404"/>
        </w:trPr>
        <w:tc>
          <w:tcPr>
            <w:tcW w:w="611" w:type="dxa"/>
            <w:tcBorders>
              <w:top w:val="nil"/>
              <w:left w:val="single" w:sz="4" w:space="0" w:color="auto"/>
              <w:bottom w:val="single" w:sz="4" w:space="0" w:color="auto"/>
              <w:right w:val="single" w:sz="4" w:space="0" w:color="auto"/>
            </w:tcBorders>
            <w:shd w:val="clear" w:color="000000" w:fill="DCE6F1"/>
            <w:hideMark/>
          </w:tcPr>
          <w:p w14:paraId="577D0D81" w14:textId="77777777" w:rsidR="00083215" w:rsidRPr="00E50BBA" w:rsidRDefault="00083215" w:rsidP="00F520C9">
            <w:pPr>
              <w:spacing w:before="0" w:line="240" w:lineRule="auto"/>
              <w:jc w:val="left"/>
              <w:rPr>
                <w:color w:val="000000"/>
                <w:lang w:eastAsia="en-GB"/>
              </w:rPr>
            </w:pPr>
            <w:r w:rsidRPr="00E50BBA">
              <w:rPr>
                <w:color w:val="000000"/>
                <w:lang w:eastAsia="en-GB"/>
              </w:rPr>
              <w:t>b.</w:t>
            </w:r>
          </w:p>
        </w:tc>
        <w:tc>
          <w:tcPr>
            <w:tcW w:w="4265" w:type="dxa"/>
            <w:tcBorders>
              <w:top w:val="nil"/>
              <w:left w:val="nil"/>
              <w:bottom w:val="single" w:sz="4" w:space="0" w:color="auto"/>
              <w:right w:val="single" w:sz="4" w:space="0" w:color="auto"/>
            </w:tcBorders>
            <w:shd w:val="clear" w:color="000000" w:fill="DCE6F1"/>
            <w:hideMark/>
          </w:tcPr>
          <w:p w14:paraId="737C01A0" w14:textId="77777777" w:rsidR="00083215" w:rsidRPr="00E50BBA" w:rsidRDefault="00083215" w:rsidP="00F520C9">
            <w:pPr>
              <w:spacing w:before="0" w:line="240" w:lineRule="auto"/>
              <w:jc w:val="left"/>
              <w:rPr>
                <w:color w:val="000000"/>
                <w:lang w:eastAsia="en-GB"/>
              </w:rPr>
            </w:pPr>
            <w:r w:rsidRPr="00E50BBA">
              <w:rPr>
                <w:color w:val="000000"/>
                <w:lang w:eastAsia="en-GB"/>
              </w:rPr>
              <w:t>LEI</w:t>
            </w:r>
          </w:p>
        </w:tc>
        <w:tc>
          <w:tcPr>
            <w:tcW w:w="1689" w:type="dxa"/>
            <w:tcBorders>
              <w:top w:val="single" w:sz="4" w:space="0" w:color="auto"/>
              <w:left w:val="nil"/>
              <w:bottom w:val="single" w:sz="4" w:space="0" w:color="auto"/>
              <w:right w:val="single" w:sz="4" w:space="0" w:color="auto"/>
            </w:tcBorders>
            <w:shd w:val="clear" w:color="000000" w:fill="FFFFFF"/>
            <w:hideMark/>
          </w:tcPr>
          <w:p w14:paraId="77574950" w14:textId="1C29E402" w:rsidR="00083215" w:rsidRPr="00E50BBA" w:rsidRDefault="00083215" w:rsidP="00F520C9">
            <w:pPr>
              <w:spacing w:before="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4DE6344B" w14:textId="63470F7A" w:rsidR="00083215" w:rsidRPr="00E50BBA" w:rsidRDefault="00BC27AD" w:rsidP="00F520C9">
            <w:pPr>
              <w:spacing w:before="0" w:line="240" w:lineRule="auto"/>
              <w:jc w:val="left"/>
              <w:rPr>
                <w:iCs/>
                <w:color w:val="000000"/>
                <w:lang w:eastAsia="en-GB"/>
              </w:rPr>
            </w:pPr>
            <w:r>
              <w:rPr>
                <w:iCs/>
                <w:color w:val="000000"/>
                <w:lang w:eastAsia="en-GB"/>
              </w:rPr>
              <w:t>21380024SB7KJSJ69U67</w:t>
            </w:r>
          </w:p>
        </w:tc>
      </w:tr>
      <w:tr w:rsidR="00083215" w:rsidRPr="00E50BBA" w14:paraId="3E0E7E2A" w14:textId="1370F22C" w:rsidTr="004F783A">
        <w:trPr>
          <w:trHeight w:val="810"/>
        </w:trPr>
        <w:tc>
          <w:tcPr>
            <w:tcW w:w="611" w:type="dxa"/>
            <w:tcBorders>
              <w:top w:val="single" w:sz="4" w:space="0" w:color="auto"/>
              <w:left w:val="single" w:sz="4" w:space="0" w:color="auto"/>
              <w:bottom w:val="single" w:sz="4" w:space="0" w:color="auto"/>
              <w:right w:val="single" w:sz="4" w:space="0" w:color="auto"/>
            </w:tcBorders>
            <w:shd w:val="clear" w:color="000000" w:fill="C5D9F1"/>
            <w:hideMark/>
          </w:tcPr>
          <w:p w14:paraId="431DC859" w14:textId="77777777" w:rsidR="00083215" w:rsidRPr="00E50BBA" w:rsidRDefault="00083215" w:rsidP="00F520C9">
            <w:pPr>
              <w:keepNext/>
              <w:spacing w:before="0" w:line="240" w:lineRule="auto"/>
              <w:jc w:val="left"/>
              <w:rPr>
                <w:b/>
                <w:bCs/>
                <w:color w:val="000000"/>
                <w:lang w:eastAsia="en-GB"/>
              </w:rPr>
            </w:pPr>
            <w:r w:rsidRPr="00E50BBA">
              <w:rPr>
                <w:b/>
                <w:bCs/>
                <w:color w:val="000000"/>
                <w:lang w:eastAsia="en-GB"/>
              </w:rPr>
              <w:lastRenderedPageBreak/>
              <w:t>4</w:t>
            </w:r>
          </w:p>
        </w:tc>
        <w:tc>
          <w:tcPr>
            <w:tcW w:w="9141" w:type="dxa"/>
            <w:gridSpan w:val="3"/>
            <w:tcBorders>
              <w:top w:val="single" w:sz="4" w:space="0" w:color="auto"/>
              <w:left w:val="single" w:sz="4" w:space="0" w:color="auto"/>
              <w:bottom w:val="single" w:sz="4" w:space="0" w:color="auto"/>
              <w:right w:val="single" w:sz="4" w:space="0" w:color="auto"/>
            </w:tcBorders>
            <w:shd w:val="clear" w:color="000000" w:fill="C5D9F1"/>
            <w:hideMark/>
          </w:tcPr>
          <w:p w14:paraId="6F073C0D" w14:textId="0B38898F" w:rsidR="00083215" w:rsidRPr="00E50BBA" w:rsidRDefault="00083215" w:rsidP="00F520C9">
            <w:pPr>
              <w:keepNext/>
              <w:spacing w:before="0" w:line="240" w:lineRule="auto"/>
              <w:jc w:val="left"/>
              <w:rPr>
                <w:b/>
                <w:bCs/>
                <w:color w:val="000000"/>
                <w:lang w:eastAsia="en-GB"/>
              </w:rPr>
            </w:pPr>
            <w:r w:rsidRPr="00E50BBA">
              <w:rPr>
                <w:b/>
                <w:bCs/>
                <w:color w:val="000000"/>
                <w:lang w:eastAsia="en-GB"/>
              </w:rPr>
              <w:t>Details of the transaction(s): section to be repeated for (</w:t>
            </w:r>
            <w:proofErr w:type="spellStart"/>
            <w:r w:rsidRPr="00E50BBA">
              <w:rPr>
                <w:b/>
                <w:bCs/>
                <w:color w:val="000000"/>
                <w:lang w:eastAsia="en-GB"/>
              </w:rPr>
              <w:t>i</w:t>
            </w:r>
            <w:proofErr w:type="spellEnd"/>
            <w:r w:rsidRPr="00E50BBA">
              <w:rPr>
                <w:b/>
                <w:bCs/>
                <w:color w:val="000000"/>
                <w:lang w:eastAsia="en-GB"/>
              </w:rPr>
              <w:t>) each type of instrument; (ii) each type of transaction; (iii) each date; and (iv) each place where transactions have been conducted</w:t>
            </w:r>
          </w:p>
        </w:tc>
      </w:tr>
      <w:tr w:rsidR="00F523BC" w:rsidRPr="00E50BBA" w14:paraId="65147436" w14:textId="0397B62A" w:rsidTr="00F523BC">
        <w:trPr>
          <w:trHeight w:val="1003"/>
        </w:trPr>
        <w:tc>
          <w:tcPr>
            <w:tcW w:w="611" w:type="dxa"/>
            <w:tcBorders>
              <w:top w:val="single" w:sz="4" w:space="0" w:color="auto"/>
              <w:left w:val="single" w:sz="4" w:space="0" w:color="auto"/>
              <w:bottom w:val="single" w:sz="4" w:space="0" w:color="auto"/>
              <w:right w:val="single" w:sz="4" w:space="0" w:color="auto"/>
            </w:tcBorders>
            <w:shd w:val="clear" w:color="000000" w:fill="DCE6F1"/>
            <w:hideMark/>
          </w:tcPr>
          <w:p w14:paraId="4D0AEE78" w14:textId="77777777" w:rsidR="00F523BC" w:rsidRPr="00E50BBA" w:rsidRDefault="00F523BC" w:rsidP="00F523BC">
            <w:pPr>
              <w:keepNext/>
              <w:spacing w:before="0" w:line="240" w:lineRule="auto"/>
              <w:jc w:val="left"/>
              <w:rPr>
                <w:color w:val="000000"/>
                <w:lang w:eastAsia="en-GB"/>
              </w:rPr>
            </w:pPr>
            <w:r w:rsidRPr="00E50BBA">
              <w:rPr>
                <w:color w:val="000000"/>
                <w:lang w:eastAsia="en-GB"/>
              </w:rPr>
              <w:t>a.</w:t>
            </w:r>
          </w:p>
        </w:tc>
        <w:tc>
          <w:tcPr>
            <w:tcW w:w="4265" w:type="dxa"/>
            <w:tcBorders>
              <w:top w:val="nil"/>
              <w:left w:val="nil"/>
              <w:bottom w:val="single" w:sz="4" w:space="0" w:color="auto"/>
              <w:right w:val="single" w:sz="4" w:space="0" w:color="auto"/>
            </w:tcBorders>
            <w:shd w:val="clear" w:color="000000" w:fill="DCE6F1"/>
            <w:hideMark/>
          </w:tcPr>
          <w:p w14:paraId="376B49EF" w14:textId="77777777" w:rsidR="00F523BC" w:rsidRPr="00E50BBA" w:rsidRDefault="00F523BC" w:rsidP="00F523BC">
            <w:pPr>
              <w:keepNext/>
              <w:spacing w:before="0" w:line="240" w:lineRule="auto"/>
              <w:jc w:val="left"/>
              <w:rPr>
                <w:color w:val="000000"/>
                <w:lang w:eastAsia="en-GB"/>
              </w:rPr>
            </w:pPr>
            <w:r w:rsidRPr="00E50BBA">
              <w:rPr>
                <w:color w:val="000000"/>
                <w:lang w:eastAsia="en-GB"/>
              </w:rPr>
              <w:t>Description of the financial instrument, type of instrument</w:t>
            </w:r>
            <w:r w:rsidRPr="00E50BBA">
              <w:rPr>
                <w:color w:val="000000"/>
                <w:lang w:eastAsia="en-GB"/>
              </w:rPr>
              <w:br/>
            </w:r>
            <w:r w:rsidRPr="00E50BBA">
              <w:rPr>
                <w:color w:val="000000"/>
                <w:lang w:eastAsia="en-GB"/>
              </w:rPr>
              <w:br/>
              <w:t>Identification Code</w:t>
            </w:r>
          </w:p>
        </w:tc>
        <w:tc>
          <w:tcPr>
            <w:tcW w:w="1689" w:type="dxa"/>
            <w:tcBorders>
              <w:top w:val="single" w:sz="4" w:space="0" w:color="auto"/>
              <w:left w:val="nil"/>
              <w:bottom w:val="single" w:sz="4" w:space="0" w:color="auto"/>
              <w:right w:val="single" w:sz="4" w:space="0" w:color="auto"/>
            </w:tcBorders>
            <w:shd w:val="clear" w:color="000000" w:fill="FFFFFF"/>
            <w:hideMark/>
          </w:tcPr>
          <w:p w14:paraId="2A003596" w14:textId="042233C3" w:rsidR="00F523BC" w:rsidRPr="00E50BBA" w:rsidRDefault="00F523BC" w:rsidP="00F523BC">
            <w:pPr>
              <w:keepNext/>
              <w:spacing w:before="0" w:after="240" w:line="240" w:lineRule="auto"/>
              <w:jc w:val="left"/>
              <w:rPr>
                <w:iCs/>
                <w:color w:val="000000"/>
                <w:lang w:eastAsia="en-GB"/>
              </w:rPr>
            </w:pPr>
            <w:r w:rsidRPr="00E50BBA">
              <w:rPr>
                <w:iCs/>
                <w:color w:val="000000"/>
                <w:lang w:eastAsia="en-GB"/>
              </w:rPr>
              <w:br/>
            </w:r>
            <w:r w:rsidRPr="00E50BBA">
              <w:rPr>
                <w:iCs/>
                <w:color w:val="000000"/>
                <w:lang w:eastAsia="en-GB"/>
              </w:rPr>
              <w:br/>
            </w:r>
          </w:p>
        </w:tc>
        <w:tc>
          <w:tcPr>
            <w:tcW w:w="3187" w:type="dxa"/>
            <w:tcBorders>
              <w:top w:val="single" w:sz="4" w:space="0" w:color="auto"/>
              <w:left w:val="nil"/>
              <w:bottom w:val="single" w:sz="4" w:space="0" w:color="auto"/>
              <w:right w:val="single" w:sz="4" w:space="0" w:color="auto"/>
            </w:tcBorders>
            <w:shd w:val="clear" w:color="000000" w:fill="FFFFFF"/>
          </w:tcPr>
          <w:p w14:paraId="7C584A78" w14:textId="77777777" w:rsidR="00F523BC" w:rsidRDefault="00F523BC" w:rsidP="00F523BC">
            <w:pPr>
              <w:keepNext/>
              <w:spacing w:before="0" w:after="240" w:line="240" w:lineRule="auto"/>
              <w:jc w:val="left"/>
              <w:rPr>
                <w:iCs/>
                <w:color w:val="000000"/>
                <w:lang w:eastAsia="en-GB"/>
              </w:rPr>
            </w:pPr>
            <w:r>
              <w:rPr>
                <w:iCs/>
                <w:color w:val="000000"/>
                <w:lang w:eastAsia="en-GB"/>
              </w:rPr>
              <w:t>Ordinary shares of 0.5p each</w:t>
            </w:r>
          </w:p>
          <w:p w14:paraId="6E340B0C" w14:textId="622DE669" w:rsidR="00F523BC" w:rsidRPr="00E50BBA" w:rsidRDefault="00F523BC" w:rsidP="00F523BC">
            <w:pPr>
              <w:keepNext/>
              <w:spacing w:before="0" w:after="240" w:line="240" w:lineRule="auto"/>
              <w:jc w:val="left"/>
              <w:rPr>
                <w:iCs/>
                <w:color w:val="000000"/>
                <w:lang w:eastAsia="en-GB"/>
              </w:rPr>
            </w:pPr>
            <w:r>
              <w:rPr>
                <w:iCs/>
                <w:color w:val="000000"/>
                <w:lang w:eastAsia="en-GB"/>
              </w:rPr>
              <w:t>ISIN Code: GB00BDZRYX75</w:t>
            </w:r>
          </w:p>
        </w:tc>
      </w:tr>
      <w:tr w:rsidR="00F523BC" w:rsidRPr="00E50BBA" w14:paraId="49A392FF" w14:textId="5D98C87D" w:rsidTr="00083215">
        <w:trPr>
          <w:trHeight w:val="670"/>
        </w:trPr>
        <w:tc>
          <w:tcPr>
            <w:tcW w:w="611" w:type="dxa"/>
            <w:tcBorders>
              <w:top w:val="nil"/>
              <w:left w:val="single" w:sz="4" w:space="0" w:color="auto"/>
              <w:bottom w:val="single" w:sz="4" w:space="0" w:color="auto"/>
              <w:right w:val="single" w:sz="4" w:space="0" w:color="auto"/>
            </w:tcBorders>
            <w:shd w:val="clear" w:color="000000" w:fill="DCE6F1"/>
          </w:tcPr>
          <w:p w14:paraId="5CBB28B6" w14:textId="77777777" w:rsidR="00F523BC" w:rsidRPr="00E50BBA" w:rsidRDefault="00F523BC" w:rsidP="00F523BC">
            <w:pPr>
              <w:keepNext/>
              <w:spacing w:before="0" w:line="240" w:lineRule="auto"/>
              <w:jc w:val="left"/>
              <w:rPr>
                <w:color w:val="000000"/>
                <w:lang w:eastAsia="en-GB"/>
              </w:rPr>
            </w:pPr>
            <w:r w:rsidRPr="00E50BBA">
              <w:rPr>
                <w:color w:val="000000"/>
                <w:lang w:eastAsia="en-GB"/>
              </w:rPr>
              <w:t>b.</w:t>
            </w:r>
          </w:p>
        </w:tc>
        <w:tc>
          <w:tcPr>
            <w:tcW w:w="4265" w:type="dxa"/>
            <w:tcBorders>
              <w:top w:val="nil"/>
              <w:left w:val="nil"/>
              <w:bottom w:val="single" w:sz="4" w:space="0" w:color="auto"/>
              <w:right w:val="single" w:sz="4" w:space="0" w:color="auto"/>
            </w:tcBorders>
            <w:shd w:val="clear" w:color="000000" w:fill="DCE6F1"/>
          </w:tcPr>
          <w:p w14:paraId="1315B9F1" w14:textId="77777777" w:rsidR="00F523BC" w:rsidRPr="00E50BBA" w:rsidRDefault="00F523BC" w:rsidP="00F523BC">
            <w:pPr>
              <w:keepNext/>
              <w:spacing w:before="0" w:line="240" w:lineRule="auto"/>
              <w:jc w:val="left"/>
              <w:rPr>
                <w:color w:val="000000"/>
                <w:lang w:eastAsia="en-GB"/>
              </w:rPr>
            </w:pPr>
            <w:r w:rsidRPr="00E50BBA">
              <w:rPr>
                <w:color w:val="000000"/>
                <w:lang w:eastAsia="en-GB"/>
              </w:rPr>
              <w:t>Nature of the transaction</w:t>
            </w:r>
          </w:p>
        </w:tc>
        <w:tc>
          <w:tcPr>
            <w:tcW w:w="1689" w:type="dxa"/>
            <w:tcBorders>
              <w:top w:val="single" w:sz="4" w:space="0" w:color="auto"/>
              <w:left w:val="nil"/>
              <w:bottom w:val="single" w:sz="4" w:space="0" w:color="auto"/>
              <w:right w:val="single" w:sz="4" w:space="0" w:color="auto"/>
            </w:tcBorders>
            <w:shd w:val="clear" w:color="000000" w:fill="FFFFFF"/>
          </w:tcPr>
          <w:p w14:paraId="438B14A3" w14:textId="2F2880E1" w:rsidR="00F523BC" w:rsidRPr="00E50BBA" w:rsidRDefault="00F523BC" w:rsidP="00F523BC">
            <w:pPr>
              <w:keepNext/>
              <w:spacing w:before="0" w:after="24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49504A70" w14:textId="49729F37" w:rsidR="00F523BC" w:rsidRPr="00E50BBA" w:rsidRDefault="00F523BC" w:rsidP="00F523BC">
            <w:pPr>
              <w:keepNext/>
              <w:spacing w:before="0" w:after="240" w:line="240" w:lineRule="auto"/>
              <w:jc w:val="left"/>
              <w:rPr>
                <w:iCs/>
                <w:color w:val="000000"/>
                <w:lang w:eastAsia="en-GB"/>
              </w:rPr>
            </w:pPr>
            <w:r>
              <w:t>Sale of 3,550,000 ordinary shares of 0.5p each in the Company ("Ordinary Shares") that were immediately repurchased by Simon McGivern through a Bed and ISA arrangement</w:t>
            </w:r>
          </w:p>
        </w:tc>
      </w:tr>
      <w:tr w:rsidR="00F523BC" w:rsidRPr="00E50BBA" w14:paraId="6F334E63" w14:textId="77777777" w:rsidTr="00083215">
        <w:trPr>
          <w:trHeight w:val="670"/>
        </w:trPr>
        <w:tc>
          <w:tcPr>
            <w:tcW w:w="611" w:type="dxa"/>
            <w:tcBorders>
              <w:top w:val="nil"/>
              <w:left w:val="single" w:sz="4" w:space="0" w:color="auto"/>
              <w:bottom w:val="single" w:sz="4" w:space="0" w:color="auto"/>
              <w:right w:val="single" w:sz="4" w:space="0" w:color="auto"/>
            </w:tcBorders>
            <w:shd w:val="clear" w:color="000000" w:fill="DCE6F1"/>
          </w:tcPr>
          <w:p w14:paraId="5A630CFE" w14:textId="7434A902" w:rsidR="00F523BC" w:rsidRPr="00E50BBA" w:rsidRDefault="00F523BC" w:rsidP="00F523BC">
            <w:pPr>
              <w:keepNext/>
              <w:spacing w:before="0" w:line="240" w:lineRule="auto"/>
              <w:jc w:val="left"/>
              <w:rPr>
                <w:color w:val="000000"/>
                <w:lang w:eastAsia="en-GB"/>
              </w:rPr>
            </w:pPr>
            <w:r>
              <w:rPr>
                <w:color w:val="000000"/>
                <w:lang w:eastAsia="en-GB"/>
              </w:rPr>
              <w:t>c.</w:t>
            </w:r>
          </w:p>
        </w:tc>
        <w:tc>
          <w:tcPr>
            <w:tcW w:w="4265" w:type="dxa"/>
            <w:tcBorders>
              <w:top w:val="nil"/>
              <w:left w:val="nil"/>
              <w:bottom w:val="single" w:sz="4" w:space="0" w:color="auto"/>
              <w:right w:val="single" w:sz="4" w:space="0" w:color="auto"/>
            </w:tcBorders>
            <w:shd w:val="clear" w:color="000000" w:fill="DCE6F1"/>
          </w:tcPr>
          <w:p w14:paraId="24F65C5E" w14:textId="1560C49F" w:rsidR="00F523BC" w:rsidRPr="00E50BBA" w:rsidRDefault="00F523BC" w:rsidP="00F523BC">
            <w:pPr>
              <w:keepNext/>
              <w:spacing w:before="0" w:line="240" w:lineRule="auto"/>
              <w:jc w:val="left"/>
              <w:rPr>
                <w:color w:val="000000"/>
                <w:lang w:eastAsia="en-GB"/>
              </w:rPr>
            </w:pPr>
            <w:r>
              <w:rPr>
                <w:color w:val="000000"/>
                <w:lang w:eastAsia="en-GB"/>
              </w:rPr>
              <w:t>Price(s) and volume(s)</w:t>
            </w:r>
          </w:p>
        </w:tc>
        <w:tc>
          <w:tcPr>
            <w:tcW w:w="1689" w:type="dxa"/>
            <w:tcBorders>
              <w:top w:val="single" w:sz="4" w:space="0" w:color="auto"/>
              <w:left w:val="nil"/>
              <w:bottom w:val="single" w:sz="4" w:space="0" w:color="auto"/>
              <w:right w:val="single" w:sz="4" w:space="0" w:color="auto"/>
            </w:tcBorders>
            <w:shd w:val="clear" w:color="000000" w:fill="FFFFFF"/>
          </w:tcPr>
          <w:p w14:paraId="1A4251CD" w14:textId="77777777" w:rsidR="00F523BC" w:rsidRPr="00E50BBA" w:rsidRDefault="00F523BC" w:rsidP="00F523BC">
            <w:pPr>
              <w:keepNext/>
              <w:spacing w:before="0" w:after="24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4D52CBAF" w14:textId="77777777" w:rsidR="00F523BC" w:rsidRDefault="00F523BC" w:rsidP="00F523BC">
            <w:pPr>
              <w:keepNext/>
              <w:spacing w:before="0" w:after="240" w:line="240" w:lineRule="auto"/>
              <w:jc w:val="left"/>
              <w:rPr>
                <w:iCs/>
                <w:color w:val="000000"/>
                <w:lang w:eastAsia="en-GB"/>
              </w:rPr>
            </w:pPr>
            <w:r>
              <w:rPr>
                <w:iCs/>
                <w:color w:val="000000"/>
                <w:lang w:eastAsia="en-GB"/>
              </w:rPr>
              <w:t>Sale of 3,550,000 @ £0.058</w:t>
            </w:r>
          </w:p>
          <w:p w14:paraId="7D48DC2B" w14:textId="7C5CD615" w:rsidR="00F523BC" w:rsidRPr="00CA00C4" w:rsidRDefault="00F523BC" w:rsidP="00F523BC">
            <w:pPr>
              <w:keepNext/>
              <w:spacing w:before="0" w:after="240" w:line="240" w:lineRule="auto"/>
              <w:jc w:val="left"/>
              <w:rPr>
                <w:iCs/>
                <w:color w:val="000000"/>
                <w:lang w:eastAsia="en-GB"/>
              </w:rPr>
            </w:pPr>
            <w:r>
              <w:rPr>
                <w:iCs/>
                <w:color w:val="000000"/>
                <w:lang w:eastAsia="en-GB"/>
              </w:rPr>
              <w:t>Purchase of 3,550,000 @ £0.058</w:t>
            </w:r>
          </w:p>
        </w:tc>
      </w:tr>
      <w:tr w:rsidR="00F523BC" w:rsidRPr="00E50BBA" w14:paraId="6EACD4BF" w14:textId="34CF918A" w:rsidTr="00083215">
        <w:trPr>
          <w:trHeight w:val="1486"/>
        </w:trPr>
        <w:tc>
          <w:tcPr>
            <w:tcW w:w="611" w:type="dxa"/>
            <w:tcBorders>
              <w:top w:val="single" w:sz="4" w:space="0" w:color="auto"/>
              <w:left w:val="single" w:sz="4" w:space="0" w:color="auto"/>
              <w:bottom w:val="single" w:sz="4" w:space="0" w:color="auto"/>
              <w:right w:val="single" w:sz="4" w:space="0" w:color="auto"/>
            </w:tcBorders>
            <w:shd w:val="clear" w:color="000000" w:fill="DCE6F1"/>
            <w:hideMark/>
          </w:tcPr>
          <w:p w14:paraId="213665FB" w14:textId="77777777" w:rsidR="00F523BC" w:rsidRPr="00E50BBA" w:rsidRDefault="00F523BC" w:rsidP="00F523BC">
            <w:pPr>
              <w:spacing w:before="0" w:line="240" w:lineRule="auto"/>
              <w:jc w:val="left"/>
              <w:rPr>
                <w:color w:val="000000"/>
                <w:lang w:eastAsia="en-GB"/>
              </w:rPr>
            </w:pPr>
            <w:r w:rsidRPr="00E50BBA">
              <w:rPr>
                <w:color w:val="000000"/>
                <w:lang w:eastAsia="en-GB"/>
              </w:rPr>
              <w:t>d.</w:t>
            </w:r>
          </w:p>
        </w:tc>
        <w:tc>
          <w:tcPr>
            <w:tcW w:w="4265" w:type="dxa"/>
            <w:tcBorders>
              <w:top w:val="single" w:sz="4" w:space="0" w:color="auto"/>
              <w:left w:val="nil"/>
              <w:bottom w:val="single" w:sz="4" w:space="0" w:color="auto"/>
              <w:right w:val="single" w:sz="4" w:space="0" w:color="auto"/>
            </w:tcBorders>
            <w:shd w:val="clear" w:color="000000" w:fill="DCE6F1"/>
            <w:hideMark/>
          </w:tcPr>
          <w:p w14:paraId="3EF30AE0" w14:textId="77777777" w:rsidR="00F523BC" w:rsidRPr="00E50BBA" w:rsidRDefault="00F523BC" w:rsidP="00F523BC">
            <w:pPr>
              <w:spacing w:before="0" w:line="240" w:lineRule="auto"/>
              <w:jc w:val="left"/>
              <w:rPr>
                <w:color w:val="000000"/>
                <w:lang w:eastAsia="en-GB"/>
              </w:rPr>
            </w:pPr>
            <w:r w:rsidRPr="00E50BBA">
              <w:rPr>
                <w:color w:val="000000"/>
                <w:lang w:eastAsia="en-GB"/>
              </w:rPr>
              <w:t>Aggregated information</w:t>
            </w:r>
            <w:r w:rsidRPr="00E50BBA">
              <w:rPr>
                <w:color w:val="000000"/>
                <w:lang w:eastAsia="en-GB"/>
              </w:rPr>
              <w:br w:type="page"/>
            </w:r>
            <w:r w:rsidRPr="00E50BBA">
              <w:rPr>
                <w:color w:val="000000"/>
                <w:lang w:eastAsia="en-GB"/>
              </w:rPr>
              <w:br w:type="page"/>
            </w:r>
          </w:p>
          <w:p w14:paraId="0CF5122A" w14:textId="77777777" w:rsidR="00F523BC" w:rsidRPr="00E50BBA" w:rsidRDefault="00F523BC" w:rsidP="00F523BC">
            <w:pPr>
              <w:spacing w:before="0" w:line="240" w:lineRule="auto"/>
              <w:jc w:val="left"/>
              <w:rPr>
                <w:color w:val="000000"/>
                <w:lang w:eastAsia="en-GB"/>
              </w:rPr>
            </w:pPr>
          </w:p>
          <w:p w14:paraId="30C6801E" w14:textId="77777777" w:rsidR="00F523BC" w:rsidRPr="00E50BBA" w:rsidRDefault="00F523BC" w:rsidP="00F523BC">
            <w:pPr>
              <w:spacing w:before="0" w:line="240" w:lineRule="auto"/>
              <w:jc w:val="left"/>
              <w:rPr>
                <w:color w:val="000000"/>
                <w:lang w:eastAsia="en-GB"/>
              </w:rPr>
            </w:pPr>
            <w:r w:rsidRPr="00E50BBA">
              <w:rPr>
                <w:color w:val="000000"/>
                <w:lang w:eastAsia="en-GB"/>
              </w:rPr>
              <w:t>- Aggregated Volume</w:t>
            </w:r>
          </w:p>
          <w:p w14:paraId="4A2DD4D7" w14:textId="77777777" w:rsidR="00F523BC" w:rsidRPr="00E50BBA" w:rsidRDefault="00F523BC" w:rsidP="00F523BC">
            <w:pPr>
              <w:spacing w:before="0" w:line="240" w:lineRule="auto"/>
              <w:jc w:val="left"/>
              <w:rPr>
                <w:color w:val="000000"/>
                <w:lang w:eastAsia="en-GB"/>
              </w:rPr>
            </w:pPr>
          </w:p>
          <w:p w14:paraId="5B4B230E" w14:textId="77777777" w:rsidR="00F523BC" w:rsidRPr="00E50BBA" w:rsidRDefault="00F523BC" w:rsidP="00F523BC">
            <w:pPr>
              <w:spacing w:before="0" w:line="240" w:lineRule="auto"/>
              <w:jc w:val="left"/>
              <w:rPr>
                <w:color w:val="000000"/>
                <w:lang w:eastAsia="en-GB"/>
              </w:rPr>
            </w:pPr>
            <w:r w:rsidRPr="00E50BBA">
              <w:rPr>
                <w:color w:val="000000"/>
                <w:lang w:eastAsia="en-GB"/>
              </w:rPr>
              <w:br w:type="page"/>
            </w:r>
            <w:r w:rsidRPr="00E50BBA">
              <w:rPr>
                <w:color w:val="000000"/>
                <w:lang w:eastAsia="en-GB"/>
              </w:rPr>
              <w:br w:type="page"/>
              <w:t>- Price</w:t>
            </w:r>
          </w:p>
        </w:tc>
        <w:tc>
          <w:tcPr>
            <w:tcW w:w="1689" w:type="dxa"/>
            <w:tcBorders>
              <w:top w:val="single" w:sz="4" w:space="0" w:color="auto"/>
              <w:left w:val="nil"/>
              <w:bottom w:val="single" w:sz="4" w:space="0" w:color="auto"/>
              <w:right w:val="single" w:sz="4" w:space="0" w:color="auto"/>
            </w:tcBorders>
            <w:shd w:val="clear" w:color="000000" w:fill="FFFFFF"/>
            <w:hideMark/>
          </w:tcPr>
          <w:p w14:paraId="6C8CBFF4" w14:textId="3BB75088" w:rsidR="00F523BC" w:rsidRPr="00E50BBA" w:rsidRDefault="00F523BC" w:rsidP="00F523BC">
            <w:pPr>
              <w:spacing w:before="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55B1FE4F" w14:textId="2A31210F" w:rsidR="00F523BC" w:rsidRDefault="00F523BC" w:rsidP="00F523BC">
            <w:pPr>
              <w:spacing w:before="0" w:line="240" w:lineRule="auto"/>
              <w:jc w:val="left"/>
              <w:rPr>
                <w:iCs/>
                <w:color w:val="000000"/>
                <w:lang w:eastAsia="en-GB"/>
              </w:rPr>
            </w:pPr>
            <w:r>
              <w:rPr>
                <w:iCs/>
                <w:color w:val="000000"/>
                <w:lang w:eastAsia="en-GB"/>
              </w:rPr>
              <w:t>Aggregated vol = 3,550,000</w:t>
            </w:r>
          </w:p>
          <w:p w14:paraId="5038010A" w14:textId="77777777" w:rsidR="00F523BC" w:rsidRDefault="00F523BC" w:rsidP="00F523BC">
            <w:pPr>
              <w:spacing w:before="0" w:line="240" w:lineRule="auto"/>
              <w:jc w:val="left"/>
              <w:rPr>
                <w:iCs/>
                <w:color w:val="000000"/>
                <w:lang w:eastAsia="en-GB"/>
              </w:rPr>
            </w:pPr>
          </w:p>
          <w:p w14:paraId="108DD7D9" w14:textId="2875F4AB" w:rsidR="00F523BC" w:rsidRDefault="00F523BC" w:rsidP="00F523BC">
            <w:pPr>
              <w:spacing w:before="0" w:line="240" w:lineRule="auto"/>
              <w:jc w:val="left"/>
              <w:rPr>
                <w:iCs/>
                <w:color w:val="000000"/>
                <w:lang w:eastAsia="en-GB"/>
              </w:rPr>
            </w:pPr>
            <w:r>
              <w:rPr>
                <w:iCs/>
                <w:color w:val="000000"/>
                <w:lang w:eastAsia="en-GB"/>
              </w:rPr>
              <w:t>Aggregated sale price = £205,900.00</w:t>
            </w:r>
          </w:p>
          <w:p w14:paraId="7640365F" w14:textId="1872C0A4" w:rsidR="00F523BC" w:rsidRDefault="00F523BC" w:rsidP="00F523BC">
            <w:pPr>
              <w:spacing w:before="0" w:line="240" w:lineRule="auto"/>
              <w:jc w:val="left"/>
              <w:rPr>
                <w:iCs/>
                <w:color w:val="000000"/>
                <w:lang w:eastAsia="en-GB"/>
              </w:rPr>
            </w:pPr>
          </w:p>
          <w:p w14:paraId="05551D3D" w14:textId="09AEEE09" w:rsidR="00F523BC" w:rsidRDefault="00F523BC" w:rsidP="00F523BC">
            <w:pPr>
              <w:spacing w:before="0" w:line="240" w:lineRule="auto"/>
              <w:jc w:val="left"/>
              <w:rPr>
                <w:iCs/>
                <w:color w:val="000000"/>
                <w:lang w:eastAsia="en-GB"/>
              </w:rPr>
            </w:pPr>
            <w:r>
              <w:rPr>
                <w:iCs/>
                <w:color w:val="000000"/>
                <w:lang w:eastAsia="en-GB"/>
              </w:rPr>
              <w:t>Aggregated purchase price = £205,925.20</w:t>
            </w:r>
          </w:p>
          <w:p w14:paraId="1A0F20E5" w14:textId="4A1FBFAE" w:rsidR="00F523BC" w:rsidRPr="00E50BBA" w:rsidRDefault="00F523BC" w:rsidP="00F523BC">
            <w:pPr>
              <w:spacing w:before="0" w:line="240" w:lineRule="auto"/>
              <w:jc w:val="left"/>
              <w:rPr>
                <w:iCs/>
                <w:color w:val="000000"/>
                <w:lang w:eastAsia="en-GB"/>
              </w:rPr>
            </w:pPr>
          </w:p>
        </w:tc>
      </w:tr>
      <w:tr w:rsidR="00F523BC" w:rsidRPr="00E50BBA" w14:paraId="682F71AB" w14:textId="516DA8CA" w:rsidTr="00083215">
        <w:trPr>
          <w:trHeight w:val="570"/>
        </w:trPr>
        <w:tc>
          <w:tcPr>
            <w:tcW w:w="611" w:type="dxa"/>
            <w:tcBorders>
              <w:top w:val="nil"/>
              <w:left w:val="single" w:sz="4" w:space="0" w:color="auto"/>
              <w:bottom w:val="single" w:sz="4" w:space="0" w:color="auto"/>
              <w:right w:val="single" w:sz="4" w:space="0" w:color="auto"/>
            </w:tcBorders>
            <w:shd w:val="clear" w:color="000000" w:fill="DCE6F1"/>
            <w:hideMark/>
          </w:tcPr>
          <w:p w14:paraId="776A8CCF" w14:textId="77777777" w:rsidR="00F523BC" w:rsidRPr="00E50BBA" w:rsidRDefault="00F523BC" w:rsidP="00F523BC">
            <w:pPr>
              <w:spacing w:before="0" w:line="240" w:lineRule="auto"/>
              <w:jc w:val="left"/>
              <w:rPr>
                <w:color w:val="000000"/>
                <w:lang w:eastAsia="en-GB"/>
              </w:rPr>
            </w:pPr>
            <w:r w:rsidRPr="00E50BBA">
              <w:rPr>
                <w:color w:val="000000"/>
                <w:lang w:eastAsia="en-GB"/>
              </w:rPr>
              <w:t>e.</w:t>
            </w:r>
          </w:p>
        </w:tc>
        <w:tc>
          <w:tcPr>
            <w:tcW w:w="4265" w:type="dxa"/>
            <w:tcBorders>
              <w:top w:val="nil"/>
              <w:left w:val="nil"/>
              <w:bottom w:val="single" w:sz="4" w:space="0" w:color="auto"/>
              <w:right w:val="single" w:sz="4" w:space="0" w:color="auto"/>
            </w:tcBorders>
            <w:shd w:val="clear" w:color="000000" w:fill="DCE6F1"/>
            <w:hideMark/>
          </w:tcPr>
          <w:p w14:paraId="4DA8D0EB" w14:textId="77777777" w:rsidR="00F523BC" w:rsidRPr="00E50BBA" w:rsidRDefault="00F523BC" w:rsidP="00F523BC">
            <w:pPr>
              <w:spacing w:before="0" w:line="240" w:lineRule="auto"/>
              <w:jc w:val="left"/>
              <w:rPr>
                <w:color w:val="000000"/>
                <w:lang w:eastAsia="en-GB"/>
              </w:rPr>
            </w:pPr>
            <w:r w:rsidRPr="00E50BBA">
              <w:rPr>
                <w:color w:val="000000"/>
                <w:lang w:eastAsia="en-GB"/>
              </w:rPr>
              <w:t>Date of the transaction</w:t>
            </w:r>
          </w:p>
        </w:tc>
        <w:tc>
          <w:tcPr>
            <w:tcW w:w="1689" w:type="dxa"/>
            <w:tcBorders>
              <w:top w:val="single" w:sz="4" w:space="0" w:color="auto"/>
              <w:left w:val="nil"/>
              <w:bottom w:val="single" w:sz="4" w:space="0" w:color="auto"/>
              <w:right w:val="single" w:sz="4" w:space="0" w:color="auto"/>
            </w:tcBorders>
            <w:shd w:val="clear" w:color="000000" w:fill="FFFFFF"/>
          </w:tcPr>
          <w:p w14:paraId="60639A9D" w14:textId="3649A5A2" w:rsidR="00F523BC" w:rsidRPr="00E50BBA" w:rsidRDefault="00F523BC" w:rsidP="00F523BC">
            <w:pPr>
              <w:spacing w:before="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76F11EAD" w14:textId="1A85538A" w:rsidR="00F523BC" w:rsidRPr="00E50BBA" w:rsidRDefault="00F523BC" w:rsidP="00F523BC">
            <w:pPr>
              <w:spacing w:before="0" w:line="240" w:lineRule="auto"/>
              <w:jc w:val="left"/>
              <w:rPr>
                <w:iCs/>
                <w:color w:val="000000"/>
                <w:lang w:eastAsia="en-GB"/>
              </w:rPr>
            </w:pPr>
            <w:r>
              <w:rPr>
                <w:iCs/>
                <w:color w:val="000000"/>
                <w:lang w:eastAsia="en-GB"/>
              </w:rPr>
              <w:t>4th April 2022</w:t>
            </w:r>
          </w:p>
        </w:tc>
      </w:tr>
      <w:tr w:rsidR="00F523BC" w:rsidRPr="00E50BBA" w14:paraId="02759915" w14:textId="1B32D620" w:rsidTr="00083215">
        <w:trPr>
          <w:trHeight w:val="394"/>
        </w:trPr>
        <w:tc>
          <w:tcPr>
            <w:tcW w:w="611" w:type="dxa"/>
            <w:tcBorders>
              <w:top w:val="nil"/>
              <w:left w:val="single" w:sz="4" w:space="0" w:color="auto"/>
              <w:bottom w:val="single" w:sz="4" w:space="0" w:color="auto"/>
              <w:right w:val="single" w:sz="4" w:space="0" w:color="auto"/>
            </w:tcBorders>
            <w:shd w:val="clear" w:color="000000" w:fill="DCE6F1"/>
          </w:tcPr>
          <w:p w14:paraId="7F2897E4" w14:textId="77777777" w:rsidR="00F523BC" w:rsidRPr="00E50BBA" w:rsidRDefault="00F523BC" w:rsidP="00F523BC">
            <w:pPr>
              <w:spacing w:before="0" w:line="240" w:lineRule="auto"/>
              <w:jc w:val="left"/>
              <w:rPr>
                <w:color w:val="000000"/>
                <w:lang w:eastAsia="en-GB"/>
              </w:rPr>
            </w:pPr>
            <w:r w:rsidRPr="00E50BBA">
              <w:rPr>
                <w:color w:val="000000"/>
                <w:lang w:eastAsia="en-GB"/>
              </w:rPr>
              <w:t>f.</w:t>
            </w:r>
          </w:p>
        </w:tc>
        <w:tc>
          <w:tcPr>
            <w:tcW w:w="4265" w:type="dxa"/>
            <w:tcBorders>
              <w:top w:val="nil"/>
              <w:left w:val="nil"/>
              <w:bottom w:val="single" w:sz="4" w:space="0" w:color="auto"/>
              <w:right w:val="single" w:sz="4" w:space="0" w:color="auto"/>
            </w:tcBorders>
            <w:shd w:val="clear" w:color="000000" w:fill="DCE6F1"/>
          </w:tcPr>
          <w:p w14:paraId="5357FFCF" w14:textId="77777777" w:rsidR="00F523BC" w:rsidRPr="00E50BBA" w:rsidRDefault="00F523BC" w:rsidP="00F523BC">
            <w:pPr>
              <w:spacing w:before="0" w:line="240" w:lineRule="auto"/>
              <w:jc w:val="left"/>
              <w:rPr>
                <w:color w:val="000000"/>
                <w:lang w:eastAsia="en-GB"/>
              </w:rPr>
            </w:pPr>
            <w:r w:rsidRPr="00E50BBA">
              <w:rPr>
                <w:color w:val="000000"/>
                <w:lang w:eastAsia="en-GB"/>
              </w:rPr>
              <w:t>Place of the transaction</w:t>
            </w:r>
          </w:p>
        </w:tc>
        <w:tc>
          <w:tcPr>
            <w:tcW w:w="1689" w:type="dxa"/>
            <w:tcBorders>
              <w:top w:val="single" w:sz="4" w:space="0" w:color="auto"/>
              <w:left w:val="nil"/>
              <w:bottom w:val="single" w:sz="4" w:space="0" w:color="auto"/>
              <w:right w:val="single" w:sz="4" w:space="0" w:color="auto"/>
            </w:tcBorders>
            <w:shd w:val="clear" w:color="000000" w:fill="FFFFFF"/>
          </w:tcPr>
          <w:p w14:paraId="2988DC3B" w14:textId="4263F8BD" w:rsidR="00F523BC" w:rsidRPr="00E50BBA" w:rsidRDefault="00F523BC" w:rsidP="00F523BC">
            <w:pPr>
              <w:spacing w:before="0" w:line="240" w:lineRule="auto"/>
              <w:jc w:val="left"/>
              <w:rPr>
                <w:iCs/>
                <w:color w:val="000000"/>
                <w:lang w:eastAsia="en-GB"/>
              </w:rPr>
            </w:pPr>
          </w:p>
        </w:tc>
        <w:tc>
          <w:tcPr>
            <w:tcW w:w="3187" w:type="dxa"/>
            <w:tcBorders>
              <w:top w:val="single" w:sz="4" w:space="0" w:color="auto"/>
              <w:left w:val="nil"/>
              <w:bottom w:val="single" w:sz="4" w:space="0" w:color="auto"/>
              <w:right w:val="single" w:sz="4" w:space="0" w:color="auto"/>
            </w:tcBorders>
            <w:shd w:val="clear" w:color="000000" w:fill="FFFFFF"/>
          </w:tcPr>
          <w:p w14:paraId="084D4619" w14:textId="477CE442" w:rsidR="00F523BC" w:rsidRPr="00E50BBA" w:rsidRDefault="00CC3DA6" w:rsidP="00F523BC">
            <w:pPr>
              <w:spacing w:before="0" w:line="240" w:lineRule="auto"/>
              <w:jc w:val="left"/>
              <w:rPr>
                <w:iCs/>
                <w:color w:val="000000"/>
                <w:lang w:eastAsia="en-GB"/>
              </w:rPr>
            </w:pPr>
            <w:r>
              <w:rPr>
                <w:iCs/>
                <w:color w:val="000000"/>
                <w:lang w:eastAsia="en-GB"/>
              </w:rPr>
              <w:t xml:space="preserve">London </w:t>
            </w:r>
            <w:r w:rsidR="00815FAD">
              <w:rPr>
                <w:iCs/>
                <w:color w:val="000000"/>
                <w:lang w:eastAsia="en-GB"/>
              </w:rPr>
              <w:t>(AQSE)</w:t>
            </w:r>
          </w:p>
        </w:tc>
      </w:tr>
    </w:tbl>
    <w:p w14:paraId="3B225DAE" w14:textId="77777777" w:rsidR="003D39F5" w:rsidRPr="00F520C9" w:rsidRDefault="003D39F5" w:rsidP="00F523BC">
      <w:pPr>
        <w:rPr>
          <w:rFonts w:asciiTheme="minorHAnsi" w:hAnsiTheme="minorHAnsi" w:cstheme="minorHAnsi"/>
        </w:rPr>
      </w:pPr>
    </w:p>
    <w:sectPr w:rsidR="003D39F5" w:rsidRPr="00F52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UIText-Sem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227"/>
    <w:multiLevelType w:val="hybridMultilevel"/>
    <w:tmpl w:val="008E97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8574B"/>
    <w:multiLevelType w:val="hybridMultilevel"/>
    <w:tmpl w:val="E682A6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B1196D"/>
    <w:multiLevelType w:val="hybridMultilevel"/>
    <w:tmpl w:val="E0F484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DF345B"/>
    <w:multiLevelType w:val="hybridMultilevel"/>
    <w:tmpl w:val="691A75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549669">
    <w:abstractNumId w:val="2"/>
  </w:num>
  <w:num w:numId="2" w16cid:durableId="1501312164">
    <w:abstractNumId w:val="3"/>
  </w:num>
  <w:num w:numId="3" w16cid:durableId="823859598">
    <w:abstractNumId w:val="0"/>
  </w:num>
  <w:num w:numId="4" w16cid:durableId="60708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3A0"/>
    <w:rsid w:val="00031512"/>
    <w:rsid w:val="00083215"/>
    <w:rsid w:val="000844E2"/>
    <w:rsid w:val="000A02AB"/>
    <w:rsid w:val="000F0379"/>
    <w:rsid w:val="0011410F"/>
    <w:rsid w:val="00153AB4"/>
    <w:rsid w:val="001A497B"/>
    <w:rsid w:val="002227CD"/>
    <w:rsid w:val="00236A2F"/>
    <w:rsid w:val="00241F1F"/>
    <w:rsid w:val="002C433F"/>
    <w:rsid w:val="003005BF"/>
    <w:rsid w:val="00362E91"/>
    <w:rsid w:val="003D39F5"/>
    <w:rsid w:val="003D6497"/>
    <w:rsid w:val="003F67EA"/>
    <w:rsid w:val="00430CF5"/>
    <w:rsid w:val="00452023"/>
    <w:rsid w:val="00480025"/>
    <w:rsid w:val="00504ADE"/>
    <w:rsid w:val="005F0237"/>
    <w:rsid w:val="00612569"/>
    <w:rsid w:val="006B542B"/>
    <w:rsid w:val="006C03A0"/>
    <w:rsid w:val="007E6AA1"/>
    <w:rsid w:val="00815FAD"/>
    <w:rsid w:val="00863D79"/>
    <w:rsid w:val="00864AA6"/>
    <w:rsid w:val="008C05A6"/>
    <w:rsid w:val="008F59AC"/>
    <w:rsid w:val="00900976"/>
    <w:rsid w:val="009F66B9"/>
    <w:rsid w:val="00A20F5A"/>
    <w:rsid w:val="00A43123"/>
    <w:rsid w:val="00A71D0D"/>
    <w:rsid w:val="00AA1D6D"/>
    <w:rsid w:val="00B247C1"/>
    <w:rsid w:val="00BC27AD"/>
    <w:rsid w:val="00BF61DC"/>
    <w:rsid w:val="00C67E6C"/>
    <w:rsid w:val="00C96E23"/>
    <w:rsid w:val="00CA00C4"/>
    <w:rsid w:val="00CC3DA6"/>
    <w:rsid w:val="00CF2105"/>
    <w:rsid w:val="00D00F7B"/>
    <w:rsid w:val="00D24DAB"/>
    <w:rsid w:val="00D2564F"/>
    <w:rsid w:val="00D303EF"/>
    <w:rsid w:val="00DB0AF0"/>
    <w:rsid w:val="00DB6EB1"/>
    <w:rsid w:val="00E30308"/>
    <w:rsid w:val="00E50BBA"/>
    <w:rsid w:val="00E644EF"/>
    <w:rsid w:val="00E67247"/>
    <w:rsid w:val="00ED59D5"/>
    <w:rsid w:val="00ED651A"/>
    <w:rsid w:val="00F340BA"/>
    <w:rsid w:val="00F520C9"/>
    <w:rsid w:val="00F523BC"/>
    <w:rsid w:val="00FA3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E688"/>
  <w15:docId w15:val="{5190D009-85B9-4919-94A3-0204068B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0C9"/>
    <w:pPr>
      <w:spacing w:before="240" w:after="0" w:line="260" w:lineRule="atLeast"/>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WScheduleSection">
    <w:name w:val="FFW Schedule Section"/>
    <w:basedOn w:val="Normal"/>
    <w:next w:val="Normal"/>
    <w:uiPriority w:val="99"/>
    <w:locked/>
    <w:rsid w:val="00F520C9"/>
  </w:style>
  <w:style w:type="paragraph" w:customStyle="1" w:styleId="bi">
    <w:name w:val="bi"/>
    <w:basedOn w:val="Normal"/>
    <w:rsid w:val="00F520C9"/>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bg">
    <w:name w:val="bg"/>
    <w:basedOn w:val="DefaultParagraphFont"/>
    <w:rsid w:val="00F520C9"/>
  </w:style>
  <w:style w:type="paragraph" w:customStyle="1" w:styleId="bo">
    <w:name w:val="bo"/>
    <w:basedOn w:val="Normal"/>
    <w:rsid w:val="00F520C9"/>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bp">
    <w:name w:val="bp"/>
    <w:basedOn w:val="DefaultParagraphFont"/>
    <w:rsid w:val="00F520C9"/>
  </w:style>
  <w:style w:type="paragraph" w:customStyle="1" w:styleId="br">
    <w:name w:val="br"/>
    <w:basedOn w:val="Normal"/>
    <w:rsid w:val="00F520C9"/>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bs">
    <w:name w:val="bs"/>
    <w:basedOn w:val="DefaultParagraphFont"/>
    <w:rsid w:val="00F520C9"/>
  </w:style>
  <w:style w:type="paragraph" w:customStyle="1" w:styleId="bt">
    <w:name w:val="bt"/>
    <w:basedOn w:val="Normal"/>
    <w:rsid w:val="00F520C9"/>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bu">
    <w:name w:val="bu"/>
    <w:basedOn w:val="DefaultParagraphFont"/>
    <w:rsid w:val="00F520C9"/>
  </w:style>
  <w:style w:type="paragraph" w:customStyle="1" w:styleId="bv">
    <w:name w:val="bv"/>
    <w:basedOn w:val="Normal"/>
    <w:rsid w:val="00F520C9"/>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bw">
    <w:name w:val="bw"/>
    <w:basedOn w:val="DefaultParagraphFont"/>
    <w:rsid w:val="00F520C9"/>
  </w:style>
  <w:style w:type="character" w:customStyle="1" w:styleId="bx">
    <w:name w:val="bx"/>
    <w:basedOn w:val="DefaultParagraphFont"/>
    <w:rsid w:val="00F520C9"/>
  </w:style>
  <w:style w:type="character" w:customStyle="1" w:styleId="by">
    <w:name w:val="by"/>
    <w:basedOn w:val="DefaultParagraphFont"/>
    <w:rsid w:val="00F520C9"/>
  </w:style>
  <w:style w:type="paragraph" w:customStyle="1" w:styleId="bz">
    <w:name w:val="bz"/>
    <w:basedOn w:val="Normal"/>
    <w:rsid w:val="00F520C9"/>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ca">
    <w:name w:val="ca"/>
    <w:basedOn w:val="DefaultParagraphFont"/>
    <w:rsid w:val="00F520C9"/>
  </w:style>
  <w:style w:type="character" w:styleId="Hyperlink">
    <w:name w:val="Hyperlink"/>
    <w:basedOn w:val="DefaultParagraphFont"/>
    <w:uiPriority w:val="99"/>
    <w:unhideWhenUsed/>
    <w:rsid w:val="00E67247"/>
    <w:rPr>
      <w:color w:val="0000FF" w:themeColor="hyperlink"/>
      <w:u w:val="single"/>
    </w:rPr>
  </w:style>
  <w:style w:type="paragraph" w:customStyle="1" w:styleId="cl">
    <w:name w:val="cl"/>
    <w:basedOn w:val="Normal"/>
    <w:rsid w:val="003D39F5"/>
    <w:pPr>
      <w:spacing w:before="100" w:beforeAutospacing="1" w:after="100" w:afterAutospacing="1" w:line="240" w:lineRule="auto"/>
      <w:jc w:val="left"/>
    </w:pPr>
    <w:rPr>
      <w:rFonts w:ascii="Times New Roman" w:hAnsi="Times New Roman" w:cs="Times New Roman"/>
      <w:sz w:val="24"/>
      <w:szCs w:val="24"/>
      <w:lang w:eastAsia="en-GB"/>
    </w:rPr>
  </w:style>
  <w:style w:type="paragraph" w:customStyle="1" w:styleId="a">
    <w:name w:val="a"/>
    <w:basedOn w:val="Normal"/>
    <w:rsid w:val="003D39F5"/>
    <w:pPr>
      <w:spacing w:before="100" w:beforeAutospacing="1" w:after="100" w:afterAutospacing="1" w:line="240" w:lineRule="auto"/>
      <w:jc w:val="left"/>
    </w:pPr>
    <w:rPr>
      <w:rFonts w:ascii="Times New Roman" w:hAnsi="Times New Roman" w:cs="Times New Roman"/>
      <w:sz w:val="24"/>
      <w:szCs w:val="24"/>
      <w:lang w:eastAsia="en-GB"/>
    </w:rPr>
  </w:style>
  <w:style w:type="paragraph" w:customStyle="1" w:styleId="cw">
    <w:name w:val="cw"/>
    <w:basedOn w:val="Normal"/>
    <w:rsid w:val="003D39F5"/>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cd">
    <w:name w:val="cd"/>
    <w:basedOn w:val="DefaultParagraphFont"/>
    <w:rsid w:val="003D39F5"/>
  </w:style>
  <w:style w:type="paragraph" w:customStyle="1" w:styleId="cx">
    <w:name w:val="cx"/>
    <w:basedOn w:val="Normal"/>
    <w:rsid w:val="003D39F5"/>
    <w:pPr>
      <w:spacing w:before="100" w:beforeAutospacing="1" w:after="100" w:afterAutospacing="1" w:line="240" w:lineRule="auto"/>
      <w:jc w:val="left"/>
    </w:pPr>
    <w:rPr>
      <w:rFonts w:ascii="Times New Roman" w:hAnsi="Times New Roman" w:cs="Times New Roman"/>
      <w:sz w:val="24"/>
      <w:szCs w:val="24"/>
      <w:lang w:eastAsia="en-GB"/>
    </w:rPr>
  </w:style>
  <w:style w:type="paragraph" w:customStyle="1" w:styleId="cy">
    <w:name w:val="cy"/>
    <w:basedOn w:val="Normal"/>
    <w:rsid w:val="003D39F5"/>
    <w:pPr>
      <w:spacing w:before="100" w:beforeAutospacing="1" w:after="100" w:afterAutospacing="1" w:line="240" w:lineRule="auto"/>
      <w:jc w:val="left"/>
    </w:pPr>
    <w:rPr>
      <w:rFonts w:ascii="Times New Roman" w:hAnsi="Times New Roman" w:cs="Times New Roman"/>
      <w:sz w:val="24"/>
      <w:szCs w:val="24"/>
      <w:lang w:eastAsia="en-GB"/>
    </w:rPr>
  </w:style>
  <w:style w:type="paragraph" w:customStyle="1" w:styleId="as">
    <w:name w:val="as"/>
    <w:basedOn w:val="Normal"/>
    <w:rsid w:val="00E50BBA"/>
    <w:pPr>
      <w:spacing w:before="100" w:beforeAutospacing="1" w:after="100" w:afterAutospacing="1" w:line="240" w:lineRule="auto"/>
      <w:jc w:val="left"/>
    </w:pPr>
    <w:rPr>
      <w:rFonts w:ascii="Times New Roman" w:hAnsi="Times New Roman" w:cs="Times New Roman"/>
      <w:sz w:val="24"/>
      <w:szCs w:val="24"/>
      <w:lang w:eastAsia="zh-CN"/>
    </w:rPr>
  </w:style>
  <w:style w:type="character" w:customStyle="1" w:styleId="s1">
    <w:name w:val="s1"/>
    <w:basedOn w:val="DefaultParagraphFont"/>
    <w:rsid w:val="00E50BBA"/>
    <w:rPr>
      <w:rFonts w:ascii=".SFUIText-Semibold" w:hAnsi=".SFUIText-Semibold" w:hint="default"/>
      <w:b w:val="0"/>
      <w:bCs w:val="0"/>
      <w:i w:val="0"/>
      <w:iCs w:val="0"/>
      <w:sz w:val="34"/>
      <w:szCs w:val="34"/>
    </w:rPr>
  </w:style>
  <w:style w:type="character" w:styleId="UnresolvedMention">
    <w:name w:val="Unresolved Mention"/>
    <w:basedOn w:val="DefaultParagraphFont"/>
    <w:uiPriority w:val="99"/>
    <w:semiHidden/>
    <w:unhideWhenUsed/>
    <w:rsid w:val="00E50BBA"/>
    <w:rPr>
      <w:color w:val="605E5C"/>
      <w:shd w:val="clear" w:color="auto" w:fill="E1DFDD"/>
    </w:rPr>
  </w:style>
  <w:style w:type="table" w:styleId="TableGrid">
    <w:name w:val="Table Grid"/>
    <w:basedOn w:val="TableNormal"/>
    <w:uiPriority w:val="59"/>
    <w:rsid w:val="0048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215"/>
    <w:pPr>
      <w:ind w:left="720"/>
      <w:contextualSpacing/>
    </w:pPr>
  </w:style>
  <w:style w:type="paragraph" w:styleId="NormalWeb">
    <w:name w:val="Normal (Web)"/>
    <w:basedOn w:val="Normal"/>
    <w:uiPriority w:val="99"/>
    <w:semiHidden/>
    <w:unhideWhenUsed/>
    <w:rsid w:val="00153AB4"/>
    <w:pPr>
      <w:spacing w:before="100" w:beforeAutospacing="1" w:after="100" w:afterAutospacing="1" w:line="240" w:lineRule="auto"/>
      <w:jc w:val="left"/>
    </w:pPr>
    <w:rPr>
      <w:rFonts w:ascii="Times New Roman" w:hAnsi="Times New Roman" w:cs="Times New Roman"/>
      <w:sz w:val="24"/>
      <w:szCs w:val="24"/>
      <w:lang w:eastAsia="en-GB"/>
    </w:rPr>
  </w:style>
  <w:style w:type="paragraph" w:customStyle="1" w:styleId="eo">
    <w:name w:val="eo"/>
    <w:basedOn w:val="Normal"/>
    <w:rsid w:val="00504ADE"/>
    <w:pPr>
      <w:spacing w:before="100" w:beforeAutospacing="1" w:after="100" w:afterAutospacing="1" w:line="240" w:lineRule="auto"/>
      <w:jc w:val="left"/>
    </w:pPr>
    <w:rPr>
      <w:rFonts w:ascii="Times New Roman" w:hAnsi="Times New Roman" w:cs="Times New Roman"/>
      <w:sz w:val="24"/>
      <w:szCs w:val="24"/>
      <w:lang w:eastAsia="en-GB"/>
    </w:rPr>
  </w:style>
  <w:style w:type="paragraph" w:customStyle="1" w:styleId="ep">
    <w:name w:val="ep"/>
    <w:basedOn w:val="Normal"/>
    <w:rsid w:val="00504ADE"/>
    <w:pPr>
      <w:spacing w:before="100" w:beforeAutospacing="1" w:after="100" w:afterAutospacing="1" w:line="240" w:lineRule="auto"/>
      <w:jc w:val="left"/>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6103">
      <w:bodyDiv w:val="1"/>
      <w:marLeft w:val="0"/>
      <w:marRight w:val="0"/>
      <w:marTop w:val="0"/>
      <w:marBottom w:val="0"/>
      <w:divBdr>
        <w:top w:val="none" w:sz="0" w:space="0" w:color="auto"/>
        <w:left w:val="none" w:sz="0" w:space="0" w:color="auto"/>
        <w:bottom w:val="none" w:sz="0" w:space="0" w:color="auto"/>
        <w:right w:val="none" w:sz="0" w:space="0" w:color="auto"/>
      </w:divBdr>
    </w:div>
    <w:div w:id="570507984">
      <w:bodyDiv w:val="1"/>
      <w:marLeft w:val="0"/>
      <w:marRight w:val="0"/>
      <w:marTop w:val="0"/>
      <w:marBottom w:val="0"/>
      <w:divBdr>
        <w:top w:val="none" w:sz="0" w:space="0" w:color="auto"/>
        <w:left w:val="none" w:sz="0" w:space="0" w:color="auto"/>
        <w:bottom w:val="none" w:sz="0" w:space="0" w:color="auto"/>
        <w:right w:val="none" w:sz="0" w:space="0" w:color="auto"/>
      </w:divBdr>
    </w:div>
    <w:div w:id="732847539">
      <w:bodyDiv w:val="1"/>
      <w:marLeft w:val="0"/>
      <w:marRight w:val="0"/>
      <w:marTop w:val="0"/>
      <w:marBottom w:val="0"/>
      <w:divBdr>
        <w:top w:val="none" w:sz="0" w:space="0" w:color="auto"/>
        <w:left w:val="none" w:sz="0" w:space="0" w:color="auto"/>
        <w:bottom w:val="none" w:sz="0" w:space="0" w:color="auto"/>
        <w:right w:val="none" w:sz="0" w:space="0" w:color="auto"/>
      </w:divBdr>
    </w:div>
    <w:div w:id="930314248">
      <w:bodyDiv w:val="1"/>
      <w:marLeft w:val="0"/>
      <w:marRight w:val="0"/>
      <w:marTop w:val="0"/>
      <w:marBottom w:val="0"/>
      <w:divBdr>
        <w:top w:val="none" w:sz="0" w:space="0" w:color="auto"/>
        <w:left w:val="none" w:sz="0" w:space="0" w:color="auto"/>
        <w:bottom w:val="none" w:sz="0" w:space="0" w:color="auto"/>
        <w:right w:val="none" w:sz="0" w:space="0" w:color="auto"/>
      </w:divBdr>
    </w:div>
    <w:div w:id="20019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Laura.Nuttall</dc:creator>
  <cp:keywords/>
  <dc:description/>
  <cp:lastModifiedBy>John Beaumont</cp:lastModifiedBy>
  <cp:revision>2</cp:revision>
  <cp:lastPrinted>2022-04-05T16:09:00Z</cp:lastPrinted>
  <dcterms:created xsi:type="dcterms:W3CDTF">2022-04-05T16:18:00Z</dcterms:created>
  <dcterms:modified xsi:type="dcterms:W3CDTF">2022-04-05T16:18:00Z</dcterms:modified>
</cp:coreProperties>
</file>